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5281" w:rsidRDefault="00685281">
      <w:r>
        <w:t>Prof. Dr. Joachim Ragnitz</w:t>
      </w:r>
    </w:p>
    <w:p w:rsidR="00685281" w:rsidRDefault="00685281"/>
    <w:p w:rsidR="006F2A3F" w:rsidRPr="00685281" w:rsidRDefault="00DC2783">
      <w:pPr>
        <w:rPr>
          <w:b/>
        </w:rPr>
      </w:pPr>
      <w:r w:rsidRPr="00685281">
        <w:rPr>
          <w:b/>
        </w:rPr>
        <w:t>Klausur</w:t>
      </w:r>
      <w:r w:rsidR="00685281" w:rsidRPr="00685281">
        <w:rPr>
          <w:b/>
        </w:rPr>
        <w:t xml:space="preserve"> „Einführung in die Wirtschaftspolitik“, WS 2015/16</w:t>
      </w:r>
      <w:r w:rsidR="00C41013">
        <w:rPr>
          <w:b/>
        </w:rPr>
        <w:t xml:space="preserve"> - Musterlösung</w:t>
      </w:r>
    </w:p>
    <w:p w:rsidR="002A2EF5" w:rsidRDefault="002A2EF5">
      <w:r>
        <w:t xml:space="preserve">Die Klausur besteht aus 15 Fragen; es können maximal </w:t>
      </w:r>
      <w:r w:rsidR="00D3054A">
        <w:t>66</w:t>
      </w:r>
      <w:r>
        <w:t xml:space="preserve"> Punkte erreicht werden. Zum Bestehen der Klausur sind wenigstens </w:t>
      </w:r>
      <w:r w:rsidR="00685281">
        <w:t>2</w:t>
      </w:r>
      <w:r w:rsidR="00A94486">
        <w:t>4</w:t>
      </w:r>
      <w:r w:rsidR="00685281">
        <w:t xml:space="preserve"> Punkte erforderlich. </w:t>
      </w:r>
    </w:p>
    <w:p w:rsidR="00685281" w:rsidRDefault="00685281"/>
    <w:p w:rsidR="002A2EF5" w:rsidRDefault="00DC2783" w:rsidP="00EB7299">
      <w:pPr>
        <w:pStyle w:val="Listenabsatz"/>
        <w:numPr>
          <w:ilvl w:val="0"/>
          <w:numId w:val="1"/>
        </w:numPr>
        <w:spacing w:after="240"/>
        <w:ind w:left="357" w:hanging="357"/>
        <w:contextualSpacing w:val="0"/>
        <w:jc w:val="both"/>
      </w:pPr>
      <w:r>
        <w:t>Beschreiben Sie (graphisch oder verbal), wie sich die Einführung einer spezifischen Gütersteuer auf den Preis und die abgesetzten Mengen des betreffenden Gutes bei elastischer und bei unelastischer Preiselastizität der Nachfrage auswirkt! (6 Punkte)</w:t>
      </w:r>
    </w:p>
    <w:p w:rsidR="00C41013" w:rsidRPr="00C41013" w:rsidRDefault="00C41013" w:rsidP="00C41013">
      <w:pPr>
        <w:pStyle w:val="Listenabsatz"/>
        <w:spacing w:after="240"/>
        <w:ind w:left="357"/>
        <w:contextualSpacing w:val="0"/>
        <w:jc w:val="both"/>
        <w:rPr>
          <w:i/>
        </w:rPr>
      </w:pPr>
      <w:r w:rsidRPr="00C41013">
        <w:rPr>
          <w:i/>
        </w:rPr>
        <w:t>Eine spezifische Gütersteuer erhöht den Preis eines Gutes bei jeder abgesetzten Einheit um einen konstanten Betrag in Euro, alternativ auch um einen konstanten Prozentsatz (Beispiele wären Tabaksteuer oder Mineralölsteuer). Typischerweise muss die Steuer vom Produzenten abgeführt werden. Das bedeutet, dass sich die Angebotskurve auf dem betrachteten Markt um den Betrag der Steuer erhöht.</w:t>
      </w:r>
    </w:p>
    <w:p w:rsidR="00C41013" w:rsidRPr="00C41013" w:rsidRDefault="00C41013" w:rsidP="00C41013">
      <w:pPr>
        <w:pStyle w:val="Listenabsatz"/>
        <w:spacing w:after="240"/>
        <w:ind w:left="357"/>
        <w:contextualSpacing w:val="0"/>
        <w:jc w:val="both"/>
        <w:rPr>
          <w:i/>
        </w:rPr>
      </w:pPr>
      <w:r w:rsidRPr="00C41013">
        <w:rPr>
          <w:i/>
        </w:rPr>
        <w:t xml:space="preserve">Hieraus folgt, dass sich der Marktpreis erhöht und die nachgefragte Menge abnimmt (die Nachfragekurve bleibt in Form und Lage unverändert, die Angebotskurve verschiebt sich nach oben, das neue Marktgleichgewicht ergibt sich bei geringerer Menge und gestiegenem Preis – letzten Endes zahlen also die Konsumenten wenigstens teilweise die Steuer, auch wenn sie beim Produzenten erhoben wird). </w:t>
      </w:r>
      <w:bookmarkStart w:id="0" w:name="_GoBack"/>
      <w:bookmarkEnd w:id="0"/>
    </w:p>
    <w:p w:rsidR="00C41013" w:rsidRPr="00C41013" w:rsidRDefault="00C41013" w:rsidP="00C41013">
      <w:pPr>
        <w:pStyle w:val="Listenabsatz"/>
        <w:spacing w:after="240"/>
        <w:ind w:left="357"/>
        <w:contextualSpacing w:val="0"/>
        <w:jc w:val="both"/>
        <w:rPr>
          <w:i/>
        </w:rPr>
      </w:pPr>
      <w:r w:rsidRPr="00C41013">
        <w:rPr>
          <w:i/>
        </w:rPr>
        <w:t xml:space="preserve">Bei preiselastischer Nachfrage („flache Nachfragekurve“) ist die Mengenreaktion relativ stark, die Preisreaktion relativ schwach. Bei preisunelastischer Nachfrage („steile Nachfragekurve“) ist die Mengenreaktion eher schwach, dafür aber der Preisanstieg deutlich stärker. </w:t>
      </w:r>
    </w:p>
    <w:p w:rsidR="00DC2783" w:rsidRDefault="004642FB" w:rsidP="00EB7299">
      <w:pPr>
        <w:pStyle w:val="Listenabsatz"/>
        <w:numPr>
          <w:ilvl w:val="0"/>
          <w:numId w:val="1"/>
        </w:numPr>
        <w:spacing w:after="240"/>
        <w:ind w:left="357" w:hanging="357"/>
        <w:contextualSpacing w:val="0"/>
        <w:jc w:val="both"/>
      </w:pPr>
      <w:r>
        <w:t>Das Nutzenmaximierungskalkül eines privaten Haushalts kann in Form eines Indifferenzkurvenschemas dargestellt werden. Analysieren Sie anhand dieses Schema</w:t>
      </w:r>
      <w:r w:rsidR="0055081B">
        <w:t>s die Auswirkungen einer Erhöhung der Einkommensteuer! (</w:t>
      </w:r>
      <w:r w:rsidR="00D3054A">
        <w:t>6</w:t>
      </w:r>
      <w:r w:rsidR="0055081B">
        <w:t xml:space="preserve"> Punkte)</w:t>
      </w:r>
    </w:p>
    <w:p w:rsidR="00C41013" w:rsidRPr="00B84099" w:rsidRDefault="00C41013" w:rsidP="00C41013">
      <w:pPr>
        <w:pStyle w:val="Listenabsatz"/>
        <w:spacing w:after="240"/>
        <w:ind w:left="357"/>
        <w:contextualSpacing w:val="0"/>
        <w:jc w:val="both"/>
        <w:rPr>
          <w:i/>
        </w:rPr>
      </w:pPr>
      <w:r w:rsidRPr="00B84099">
        <w:rPr>
          <w:i/>
        </w:rPr>
        <w:t xml:space="preserve">Eine Erhöhung der Einkommensteuer ist gleichbedeutend mit einer Verringerung des verfügbaren Einkommens, also einer Linksverschiebung der Budgetlinie (oder auch: Einkommensgeraden) bei gleichbleibender Steigung (die ja dem umgekehrten Preisverhältnis entspricht, das sich bei einer Steueränderung nicht verändert, solange von induzierten Preisänderungen auf den jeweiligen Gütermärkten abstrahiert wird). Daraus folgt, dass die nutzenoptimale Menge beider Güter zurückgeht; der neue Tangentialpunkt liegt auf einer „tieferen“ Indifferenzkurve. </w:t>
      </w:r>
    </w:p>
    <w:p w:rsidR="00C41013" w:rsidRPr="00B84099" w:rsidRDefault="00C41013" w:rsidP="00C41013">
      <w:pPr>
        <w:pStyle w:val="Listenabsatz"/>
        <w:spacing w:after="240"/>
        <w:ind w:left="357"/>
        <w:contextualSpacing w:val="0"/>
        <w:jc w:val="both"/>
        <w:rPr>
          <w:i/>
        </w:rPr>
      </w:pPr>
      <w:r w:rsidRPr="00B84099">
        <w:rPr>
          <w:i/>
        </w:rPr>
        <w:t xml:space="preserve">Der Mengenrückgang </w:t>
      </w:r>
      <w:r w:rsidR="00B84099" w:rsidRPr="00B84099">
        <w:rPr>
          <w:i/>
        </w:rPr>
        <w:t>ist im Regelfall bei beiden Gütern prozentual gleich, da sich das Preisverhältnis ja nicht ändert. Es sind aber Fälle denkbar (z.B. Güter, die vor allem dem „Statuskonsum“ dienen), bei denen sich auch die nachgefragten Mengenrelationen ändern.</w:t>
      </w:r>
      <w:r w:rsidR="00B84099">
        <w:t xml:space="preserve"> </w:t>
      </w:r>
    </w:p>
    <w:p w:rsidR="00B84099" w:rsidRDefault="00B84099" w:rsidP="00C41013">
      <w:pPr>
        <w:pStyle w:val="Listenabsatz"/>
        <w:spacing w:after="240"/>
        <w:ind w:left="357"/>
        <w:contextualSpacing w:val="0"/>
        <w:jc w:val="both"/>
      </w:pPr>
      <w:r w:rsidRPr="00B84099">
        <w:rPr>
          <w:i/>
        </w:rPr>
        <w:t>Wenn die verfügbaren Einkommen zurückgehen, verschiebt sich allerdings auch die Nachfragekurve am Gütermarkt (nach unten), so dass in Abhängigkeit von den jeweiligen Marktbedingungen Änderungen der relativen Preise zu erwarten sind</w:t>
      </w:r>
      <w:r>
        <w:rPr>
          <w:i/>
        </w:rPr>
        <w:t xml:space="preserve">. In einem weiteren Schritt wird es daher auch zu einer </w:t>
      </w:r>
      <w:r w:rsidRPr="00B84099">
        <w:rPr>
          <w:i/>
        </w:rPr>
        <w:t>Drehung der Budgetlinie</w:t>
      </w:r>
      <w:r>
        <w:rPr>
          <w:i/>
        </w:rPr>
        <w:t xml:space="preserve"> (im Indifferenzkurvenschema) kommen</w:t>
      </w:r>
      <w:r w:rsidRPr="00B84099">
        <w:rPr>
          <w:i/>
        </w:rPr>
        <w:t>).</w:t>
      </w:r>
      <w:r>
        <w:rPr>
          <w:i/>
        </w:rPr>
        <w:t xml:space="preserve"> Wie diese ausfällt, lässt sich a priori aber nicht sagen.</w:t>
      </w:r>
      <w:r>
        <w:t xml:space="preserve"> </w:t>
      </w:r>
    </w:p>
    <w:p w:rsidR="00C804B5" w:rsidRDefault="00C804B5" w:rsidP="00C41013">
      <w:pPr>
        <w:pStyle w:val="Listenabsatz"/>
        <w:spacing w:after="240"/>
        <w:ind w:left="357"/>
        <w:contextualSpacing w:val="0"/>
        <w:jc w:val="both"/>
      </w:pPr>
      <w:r>
        <w:lastRenderedPageBreak/>
        <w:t xml:space="preserve">Ergänzung: </w:t>
      </w:r>
    </w:p>
    <w:p w:rsidR="00C804B5" w:rsidRPr="00C804B5" w:rsidRDefault="00C804B5" w:rsidP="00C41013">
      <w:pPr>
        <w:pStyle w:val="Listenabsatz"/>
        <w:spacing w:after="240"/>
        <w:ind w:left="357"/>
        <w:contextualSpacing w:val="0"/>
        <w:jc w:val="both"/>
        <w:rPr>
          <w:i/>
        </w:rPr>
      </w:pPr>
      <w:r w:rsidRPr="00C804B5">
        <w:rPr>
          <w:i/>
        </w:rPr>
        <w:t xml:space="preserve">Die Fragestellung war offenkundig nicht eindeutig. Deswegen lasse ich es auch gelten, wenn anstatt der Auswirkungen auf die Gütermärkte die Auswirkungen auf das Nutzenmaximierungskalkül eines Arbeitsanbieters beschrieben </w:t>
      </w:r>
      <w:proofErr w:type="gramStart"/>
      <w:r w:rsidRPr="00C804B5">
        <w:rPr>
          <w:i/>
        </w:rPr>
        <w:t>wurde</w:t>
      </w:r>
      <w:proofErr w:type="gramEnd"/>
      <w:r w:rsidRPr="00C804B5">
        <w:rPr>
          <w:i/>
        </w:rPr>
        <w:t>. In diesem Fall: Die Einkommensgerade (Lohnsatz multipliziert mit der realisierten Arbeitszeit) dreht sich um den Ursprung nach unten, so dass das erzielbare Einkommen sinkt; im Normalfall reduziert sich dann auch das individuelle Arbeitsangebot (in Abhängigkeit von der Form der aufwärts verlaufenden Indifferenzkurve zwischen Arbeitszeit und Freizeit).</w:t>
      </w:r>
    </w:p>
    <w:p w:rsidR="0055081B" w:rsidRDefault="00400B00" w:rsidP="00EB7299">
      <w:pPr>
        <w:pStyle w:val="Listenabsatz"/>
        <w:numPr>
          <w:ilvl w:val="0"/>
          <w:numId w:val="1"/>
        </w:numPr>
        <w:spacing w:after="240"/>
        <w:ind w:left="357" w:hanging="357"/>
        <w:contextualSpacing w:val="0"/>
        <w:jc w:val="both"/>
      </w:pPr>
      <w:r>
        <w:t xml:space="preserve">Die Europäische Zentralbank begründet ihre aktuelle Geldpolitik (auch) auf mit dem Risiko deflationärer Tendenzen im Euroraum. Weshalb ist eine Deflation als schädlich anzusehen? </w:t>
      </w:r>
      <w:r w:rsidR="00685281">
        <w:br/>
      </w:r>
      <w:r>
        <w:t>(6 Punkte)</w:t>
      </w:r>
    </w:p>
    <w:p w:rsidR="00C10897" w:rsidRPr="00C10897" w:rsidRDefault="00C10897" w:rsidP="00C10897">
      <w:pPr>
        <w:spacing w:after="240"/>
        <w:ind w:firstLine="357"/>
        <w:jc w:val="both"/>
        <w:rPr>
          <w:i/>
        </w:rPr>
      </w:pPr>
      <w:r w:rsidRPr="00C10897">
        <w:rPr>
          <w:i/>
        </w:rPr>
        <w:t>Einige Beispiele für negative Wirkungen</w:t>
      </w:r>
    </w:p>
    <w:p w:rsidR="00B84099" w:rsidRPr="00C10897" w:rsidRDefault="00B84099" w:rsidP="00B84099">
      <w:pPr>
        <w:pStyle w:val="Listenabsatz"/>
        <w:numPr>
          <w:ilvl w:val="0"/>
          <w:numId w:val="3"/>
        </w:numPr>
        <w:spacing w:after="240"/>
        <w:contextualSpacing w:val="0"/>
        <w:jc w:val="both"/>
        <w:rPr>
          <w:i/>
        </w:rPr>
      </w:pPr>
      <w:r w:rsidRPr="00C10897">
        <w:rPr>
          <w:i/>
        </w:rPr>
        <w:t>Verschiebung der relativen Preise, wenn nicht alle Güterpreise in gleichem Umfang sinken (=&gt;Störung des Nutzenmaximierungskalküls der privaten Haushalte, Störung der Ressourcenallokation)</w:t>
      </w:r>
    </w:p>
    <w:p w:rsidR="00B84099" w:rsidRPr="00C10897" w:rsidRDefault="00B84099" w:rsidP="00B84099">
      <w:pPr>
        <w:pStyle w:val="Listenabsatz"/>
        <w:numPr>
          <w:ilvl w:val="0"/>
          <w:numId w:val="3"/>
        </w:numPr>
        <w:spacing w:after="240"/>
        <w:contextualSpacing w:val="0"/>
        <w:jc w:val="both"/>
        <w:rPr>
          <w:i/>
        </w:rPr>
      </w:pPr>
      <w:r w:rsidRPr="00C10897">
        <w:rPr>
          <w:i/>
        </w:rPr>
        <w:t>Verringerung der Gewinne der Unternehmen, wenn Absatzpreise sinken, aber Löhne konstant bleiben (=Reallohnanstieg); das kann zu Beschäftigungsverlusten führen, weil Unternehmen dann möglicherweise aus dem Markt ausscheiden</w:t>
      </w:r>
    </w:p>
    <w:p w:rsidR="00B84099" w:rsidRPr="00C10897" w:rsidRDefault="00B84099" w:rsidP="00B84099">
      <w:pPr>
        <w:pStyle w:val="Listenabsatz"/>
        <w:numPr>
          <w:ilvl w:val="0"/>
          <w:numId w:val="3"/>
        </w:numPr>
        <w:spacing w:after="240"/>
        <w:contextualSpacing w:val="0"/>
        <w:jc w:val="both"/>
        <w:rPr>
          <w:i/>
        </w:rPr>
      </w:pPr>
      <w:r w:rsidRPr="00C10897">
        <w:rPr>
          <w:i/>
        </w:rPr>
        <w:t xml:space="preserve">Umverteilung zugunsten der Gläubiger / zulasten der Schuldner, weil </w:t>
      </w:r>
      <w:r w:rsidR="00C10897" w:rsidRPr="00C10897">
        <w:rPr>
          <w:i/>
        </w:rPr>
        <w:t>Realwert von Krediten steigt</w:t>
      </w:r>
    </w:p>
    <w:p w:rsidR="00C10897" w:rsidRPr="00C10897" w:rsidRDefault="00C10897" w:rsidP="00B84099">
      <w:pPr>
        <w:pStyle w:val="Listenabsatz"/>
        <w:numPr>
          <w:ilvl w:val="0"/>
          <w:numId w:val="3"/>
        </w:numPr>
        <w:spacing w:after="240"/>
        <w:contextualSpacing w:val="0"/>
        <w:jc w:val="both"/>
        <w:rPr>
          <w:i/>
        </w:rPr>
      </w:pPr>
      <w:r w:rsidRPr="00C10897">
        <w:rPr>
          <w:i/>
        </w:rPr>
        <w:t>Umverteilung zulasten des Staates, weil nominale Steuereinnahmen (z.B. aus der Umsatzsteuer) sinken, aber die staatlichen Ausgaben zumindest teilweise unverändert bleiben (Zinsen, Personalkosten u.a.)</w:t>
      </w:r>
    </w:p>
    <w:p w:rsidR="00C10897" w:rsidRPr="00C10897" w:rsidRDefault="00C10897" w:rsidP="00B84099">
      <w:pPr>
        <w:pStyle w:val="Listenabsatz"/>
        <w:numPr>
          <w:ilvl w:val="0"/>
          <w:numId w:val="3"/>
        </w:numPr>
        <w:spacing w:after="240"/>
        <w:contextualSpacing w:val="0"/>
        <w:jc w:val="both"/>
        <w:rPr>
          <w:i/>
        </w:rPr>
      </w:pPr>
      <w:r w:rsidRPr="00C10897">
        <w:rPr>
          <w:i/>
        </w:rPr>
        <w:t>Verschiebung von Käufen (z.B. bei Anschaffung langlebiger Gebrauchsgüter), weil man bei sinkenden Preisen künftig möglicherweise noch billiger kaufen kann; Folge wäre eine Abschwächung der gesamtwirtschaftlichen Nachfrage=Konjunkturabschwung</w:t>
      </w:r>
    </w:p>
    <w:p w:rsidR="00400B00" w:rsidRDefault="00400B00" w:rsidP="00EB7299">
      <w:pPr>
        <w:pStyle w:val="Listenabsatz"/>
        <w:numPr>
          <w:ilvl w:val="0"/>
          <w:numId w:val="1"/>
        </w:numPr>
        <w:spacing w:after="240"/>
        <w:ind w:left="357" w:hanging="357"/>
        <w:contextualSpacing w:val="0"/>
        <w:jc w:val="both"/>
      </w:pPr>
      <w:r>
        <w:t>Ein wesentlicher Bestandteil regionaler Wirtschaftspolitik ist die Gewährung von Investitionsbeihilfen an Unternehmen in strukturschwächeren Regionen (z.B. Gewährung zinsverbilligter Kredite, direkte Zahlungen des Staates an investierende Unternehmen)</w:t>
      </w:r>
      <w:r w:rsidR="000C1E87">
        <w:t xml:space="preserve">. Ein Ziel dabei ist es, vermehrt Arbeitsplätze </w:t>
      </w:r>
      <w:r w:rsidR="008E601D">
        <w:t xml:space="preserve">in den begünstigten Unternehmen </w:t>
      </w:r>
      <w:r w:rsidR="000C1E87">
        <w:t xml:space="preserve">zu schaffen. Nennen Sie (unter Bezug auf das mikroökonomische Instrumentarium) </w:t>
      </w:r>
      <w:r w:rsidR="00D3054A">
        <w:t xml:space="preserve">mögliche </w:t>
      </w:r>
      <w:r w:rsidR="000C1E87">
        <w:t>Gründe dafür, dass dieses Ziel häufig nicht erreicht wird. (6 Punkte)</w:t>
      </w:r>
    </w:p>
    <w:p w:rsidR="00C10897" w:rsidRPr="00043596" w:rsidRDefault="00C10897" w:rsidP="00C10897">
      <w:pPr>
        <w:pStyle w:val="Listenabsatz"/>
        <w:spacing w:after="240"/>
        <w:ind w:left="357"/>
        <w:contextualSpacing w:val="0"/>
        <w:jc w:val="both"/>
        <w:rPr>
          <w:i/>
        </w:rPr>
      </w:pPr>
      <w:r w:rsidRPr="00043596">
        <w:rPr>
          <w:i/>
        </w:rPr>
        <w:t xml:space="preserve">Regionalbeihilfen setzen typischerweise an Investitionen an, führen also zu einer Verringerung der Kapitalnutzungskosten. </w:t>
      </w:r>
      <w:r w:rsidR="00043596" w:rsidRPr="00043596">
        <w:rPr>
          <w:i/>
        </w:rPr>
        <w:t xml:space="preserve">Damit kommt es zu einer Veränderung der Faktorpreisrelationen (Kapitaleinsatz wird billiger, Arbeitskosten bleiben unverändert). </w:t>
      </w:r>
    </w:p>
    <w:p w:rsidR="00043596" w:rsidRPr="00043596" w:rsidRDefault="00043596" w:rsidP="00C10897">
      <w:pPr>
        <w:pStyle w:val="Listenabsatz"/>
        <w:spacing w:after="240"/>
        <w:ind w:left="357"/>
        <w:contextualSpacing w:val="0"/>
        <w:jc w:val="both"/>
        <w:rPr>
          <w:i/>
        </w:rPr>
      </w:pPr>
      <w:r w:rsidRPr="00043596">
        <w:rPr>
          <w:i/>
        </w:rPr>
        <w:t xml:space="preserve">Das führt dazu, dass zwar insgesamt die Produktionskosten sinken können (also ein „Einkommenseffekt“ eintritt, der die Nachfrage nach Arbeit und Kapital erhöht) bzw. es zu zusätzlichen Ansiedlungen in der strukturschwachen Region kommt, der ebenfalls zu einer vermehrten Beschäftigung beiträgt. Dem steht aber gegenüber, dass Arbeit nunmehr relativ teurer wird, also ein Anreiz zum Ersatz von Arbeit durch Kapital entsteht (Substitutionseffekt). Wenn der </w:t>
      </w:r>
      <w:r w:rsidRPr="00043596">
        <w:rPr>
          <w:i/>
        </w:rPr>
        <w:lastRenderedPageBreak/>
        <w:t xml:space="preserve">Substitutionseffekt sehr stark ist, kann es dazu kommen, dass eben nicht mehr Beschäftigung entsteht. </w:t>
      </w:r>
    </w:p>
    <w:p w:rsidR="00043596" w:rsidRPr="00043596" w:rsidRDefault="00043596" w:rsidP="00C10897">
      <w:pPr>
        <w:pStyle w:val="Listenabsatz"/>
        <w:spacing w:after="240"/>
        <w:ind w:left="357"/>
        <w:contextualSpacing w:val="0"/>
        <w:jc w:val="both"/>
        <w:rPr>
          <w:i/>
        </w:rPr>
      </w:pPr>
      <w:r w:rsidRPr="00043596">
        <w:rPr>
          <w:i/>
        </w:rPr>
        <w:t>Hinzu kommt: Es wird zwar häufig subventioniert, aber oftmals führt das nur dazu, dass ohnehin geplante Investitionen jetzt zusätzlich verbilligt werden. In diesem Fall tritt nicht einmal der beschriebene „Einkommenseffekt“ ein. Auch in diesem Fall bleiben die Beschäftigungswirkungen schwach (oder sind sogar negativ).</w:t>
      </w:r>
    </w:p>
    <w:p w:rsidR="0068126C" w:rsidRDefault="0068126C" w:rsidP="00EB7299">
      <w:pPr>
        <w:pStyle w:val="Listenabsatz"/>
        <w:numPr>
          <w:ilvl w:val="0"/>
          <w:numId w:val="1"/>
        </w:numPr>
        <w:spacing w:after="240"/>
        <w:ind w:left="357" w:hanging="357"/>
        <w:contextualSpacing w:val="0"/>
        <w:jc w:val="both"/>
      </w:pPr>
      <w:r>
        <w:t xml:space="preserve">Wirtschaftliche Entwicklung ist </w:t>
      </w:r>
      <w:r w:rsidR="00D3054A">
        <w:t xml:space="preserve">typischerweise </w:t>
      </w:r>
      <w:r>
        <w:t xml:space="preserve">durch konjunkturelle Schwankungen geprägt. Welche politischen Möglichkeiten einer Stabilisierung der gesamtwirtschaftlichen Nachfrage zur Dämpfung von Konjunkturschwankungen gibt es? </w:t>
      </w:r>
      <w:r w:rsidR="00A94486">
        <w:t xml:space="preserve">Unterscheiden Sie dabei zwischen verschiedenen Konjunkturphasen! </w:t>
      </w:r>
      <w:r>
        <w:t>(6 Punkte)</w:t>
      </w:r>
    </w:p>
    <w:p w:rsidR="00043596" w:rsidRPr="00565556" w:rsidRDefault="00043596" w:rsidP="00043596">
      <w:pPr>
        <w:pStyle w:val="Listenabsatz"/>
        <w:spacing w:after="240"/>
        <w:ind w:left="357"/>
        <w:contextualSpacing w:val="0"/>
        <w:jc w:val="both"/>
        <w:rPr>
          <w:i/>
        </w:rPr>
      </w:pPr>
      <w:r w:rsidRPr="00565556">
        <w:rPr>
          <w:i/>
        </w:rPr>
        <w:t xml:space="preserve">Zunächst einmal müssen die Konjunkturphasen genannt werden: Aufschwung – Boom – Abschwung – Rezession. </w:t>
      </w:r>
    </w:p>
    <w:p w:rsidR="00043596" w:rsidRPr="00565556" w:rsidRDefault="00043596" w:rsidP="00043596">
      <w:pPr>
        <w:pStyle w:val="Listenabsatz"/>
        <w:spacing w:after="240"/>
        <w:ind w:left="357"/>
        <w:contextualSpacing w:val="0"/>
        <w:jc w:val="both"/>
        <w:rPr>
          <w:i/>
        </w:rPr>
      </w:pPr>
      <w:r w:rsidRPr="00565556">
        <w:rPr>
          <w:i/>
        </w:rPr>
        <w:t xml:space="preserve">In einer konjunkturellen Schwächephase soll nach </w:t>
      </w:r>
      <w:proofErr w:type="spellStart"/>
      <w:r w:rsidRPr="00565556">
        <w:rPr>
          <w:i/>
        </w:rPr>
        <w:t>keynesianischer</w:t>
      </w:r>
      <w:proofErr w:type="spellEnd"/>
      <w:r w:rsidRPr="00565556">
        <w:rPr>
          <w:i/>
        </w:rPr>
        <w:t xml:space="preserve"> Sichtweise die Wirtschaftspolitik zusätzliche Nachfrage entfalten: Also defizitfinanzierte Staatsnachfrage (Investitionen oder Staatsverbrauch); oder: Zinssenkungen mit induzierter Steigerung der Investitionsnachfrage / induzierter Abwertung der heimischen Währung mit Steigerung der Exportnachfrage; oder: Steuersenkungen mit induzierter Konsumnachfrage (bei gleichbleibender staatlicher Nachfrage=erhöhtes Staatsdefizit. In allen Fällen wird ein </w:t>
      </w:r>
      <w:proofErr w:type="spellStart"/>
      <w:r w:rsidRPr="00565556">
        <w:rPr>
          <w:i/>
        </w:rPr>
        <w:t>Multiplikatorprozess</w:t>
      </w:r>
      <w:proofErr w:type="spellEnd"/>
      <w:r w:rsidRPr="00565556">
        <w:rPr>
          <w:i/>
        </w:rPr>
        <w:t xml:space="preserve"> in Gang gesetzt, der zu einer Zunahme des Bruttoinlandsprodukts führt. </w:t>
      </w:r>
    </w:p>
    <w:p w:rsidR="00043596" w:rsidRPr="00565556" w:rsidRDefault="00043596" w:rsidP="00043596">
      <w:pPr>
        <w:pStyle w:val="Listenabsatz"/>
        <w:spacing w:after="240"/>
        <w:ind w:left="357"/>
        <w:contextualSpacing w:val="0"/>
        <w:jc w:val="both"/>
        <w:rPr>
          <w:i/>
        </w:rPr>
      </w:pPr>
      <w:r w:rsidRPr="00565556">
        <w:rPr>
          <w:i/>
        </w:rPr>
        <w:t xml:space="preserve">In einer konjunkturellen Überhitzungsphase gelten die umgekehrten Empfehlungen: Reduktion der Staatsnachfrage; Zinserhöhungen; </w:t>
      </w:r>
      <w:r w:rsidR="00565556" w:rsidRPr="00565556">
        <w:rPr>
          <w:i/>
        </w:rPr>
        <w:t xml:space="preserve">Steuererhöhungen. </w:t>
      </w:r>
    </w:p>
    <w:p w:rsidR="0068126C" w:rsidRDefault="005C5551" w:rsidP="00EB7299">
      <w:pPr>
        <w:pStyle w:val="Listenabsatz"/>
        <w:numPr>
          <w:ilvl w:val="0"/>
          <w:numId w:val="1"/>
        </w:numPr>
        <w:spacing w:after="240"/>
        <w:ind w:left="357" w:hanging="357"/>
        <w:contextualSpacing w:val="0"/>
        <w:jc w:val="both"/>
      </w:pPr>
      <w:r>
        <w:t xml:space="preserve">Vom ehemaligen Bundeskanzler Helmut Schmidt stammt der Ausspruch „Lieber 5% Inflation als 5% Arbeitslosigkeit“. Wieso gibt es zwischen den beiden zugrundeliegenden Zielsetzungen der Wirtschaftspolitik (Preisstabilität versus hoher Beschäftigungsstand) einen Widerspruch? </w:t>
      </w:r>
      <w:r w:rsidR="00685281">
        <w:br/>
      </w:r>
      <w:r>
        <w:t>(6 Punkte)</w:t>
      </w:r>
    </w:p>
    <w:p w:rsidR="00565556" w:rsidRPr="00565556" w:rsidRDefault="00565556" w:rsidP="00565556">
      <w:pPr>
        <w:pStyle w:val="Listenabsatz"/>
        <w:spacing w:after="240"/>
        <w:ind w:left="357"/>
        <w:contextualSpacing w:val="0"/>
        <w:jc w:val="both"/>
        <w:rPr>
          <w:i/>
        </w:rPr>
      </w:pPr>
      <w:r w:rsidRPr="00565556">
        <w:rPr>
          <w:i/>
        </w:rPr>
        <w:t xml:space="preserve">Hier handelt es sich um den (empirischen) Zusammenhang der sogenannten </w:t>
      </w:r>
      <w:proofErr w:type="spellStart"/>
      <w:r w:rsidRPr="00565556">
        <w:rPr>
          <w:i/>
        </w:rPr>
        <w:t>Phillipskurve</w:t>
      </w:r>
      <w:proofErr w:type="spellEnd"/>
      <w:r w:rsidRPr="00565556">
        <w:rPr>
          <w:i/>
        </w:rPr>
        <w:t xml:space="preserve">: Eine hohe Inflation führt tendenziell dazu, dass die Unternehmen ihre Gewinne ausweiten können und deshalb ihre Produktion erhöhen. Folge wäre ein höherer Beschäftigungsstand. Eine niedrige Inflation führt hingegen dazu, dass die Unternehmen eher zurückhaltend bei Neueinstellungen sind, so dass die Arbeitslosenquote möglicherweise ansteigt. </w:t>
      </w:r>
    </w:p>
    <w:p w:rsidR="00565556" w:rsidRPr="00565556" w:rsidRDefault="00565556" w:rsidP="00565556">
      <w:pPr>
        <w:pStyle w:val="Listenabsatz"/>
        <w:spacing w:after="240"/>
        <w:ind w:left="357"/>
        <w:contextualSpacing w:val="0"/>
        <w:jc w:val="both"/>
        <w:rPr>
          <w:i/>
        </w:rPr>
      </w:pPr>
      <w:r w:rsidRPr="00565556">
        <w:rPr>
          <w:i/>
        </w:rPr>
        <w:t xml:space="preserve">Man kann es auch mikroökonomisch begründen: Höhere Inflation=sinkende Reallöhne=steigende Arbeitskräftenachfrage und umgekehrt. </w:t>
      </w:r>
    </w:p>
    <w:p w:rsidR="00565556" w:rsidRPr="00565556" w:rsidRDefault="00565556" w:rsidP="00565556">
      <w:pPr>
        <w:pStyle w:val="Listenabsatz"/>
        <w:spacing w:after="240"/>
        <w:ind w:left="357"/>
        <w:contextualSpacing w:val="0"/>
        <w:jc w:val="both"/>
        <w:rPr>
          <w:i/>
        </w:rPr>
      </w:pPr>
      <w:r w:rsidRPr="00565556">
        <w:rPr>
          <w:i/>
        </w:rPr>
        <w:t xml:space="preserve">Die genannte Äußerung von Helmut Schmidt stammt aus den frühen 1970er Jahren, als die wirtschaftliche Situation angespannt war (steigende Arbeitslosigkeit), so dass man expansive Maßnahmen (steigende Kreditaufnahme des Staates zur Erhöhung der gesamtwirtschaftlichen Nachfrage bzw. expansive Geldpolitik) diskutierte, die kurzfristig die Arbeitslosigkeit senken sollte. </w:t>
      </w:r>
      <w:proofErr w:type="spellStart"/>
      <w:r w:rsidRPr="00565556">
        <w:rPr>
          <w:i/>
        </w:rPr>
        <w:t>Da mit</w:t>
      </w:r>
      <w:proofErr w:type="spellEnd"/>
      <w:r w:rsidRPr="00565556">
        <w:rPr>
          <w:i/>
        </w:rPr>
        <w:t xml:space="preserve"> expansiver Geldpolitik das Risiko von Preissteigerungen steigt (=Quantitätsgleichung), wurde mit diesem Zitat eine politische Prioritätensetzung ausgedrückt.</w:t>
      </w:r>
    </w:p>
    <w:p w:rsidR="002A2EF5" w:rsidRDefault="002A2EF5" w:rsidP="00EB7299">
      <w:pPr>
        <w:pStyle w:val="Listenabsatz"/>
        <w:numPr>
          <w:ilvl w:val="0"/>
          <w:numId w:val="1"/>
        </w:numPr>
        <w:spacing w:after="240"/>
        <w:ind w:left="357" w:hanging="357"/>
        <w:contextualSpacing w:val="0"/>
        <w:jc w:val="both"/>
      </w:pPr>
      <w:r>
        <w:t>Was ist aus ökonomischer Sicht ein „gerechter Lohn“? (6 Punkte)</w:t>
      </w:r>
    </w:p>
    <w:p w:rsidR="00565556" w:rsidRPr="00D63479" w:rsidRDefault="00565556" w:rsidP="00565556">
      <w:pPr>
        <w:pStyle w:val="Listenabsatz"/>
        <w:spacing w:after="240"/>
        <w:ind w:left="357"/>
        <w:contextualSpacing w:val="0"/>
        <w:jc w:val="both"/>
        <w:rPr>
          <w:i/>
        </w:rPr>
      </w:pPr>
      <w:r w:rsidRPr="00D63479">
        <w:rPr>
          <w:i/>
        </w:rPr>
        <w:t xml:space="preserve">„Gerecht“ ist keine ökonomische Kategorie; jeder versteht im Zweifel etwas anderes darunter. </w:t>
      </w:r>
    </w:p>
    <w:p w:rsidR="00565556" w:rsidRDefault="00565556" w:rsidP="00565556">
      <w:pPr>
        <w:pStyle w:val="Listenabsatz"/>
        <w:spacing w:after="240"/>
        <w:ind w:left="357"/>
        <w:contextualSpacing w:val="0"/>
        <w:jc w:val="both"/>
      </w:pPr>
      <w:r w:rsidRPr="00D63479">
        <w:rPr>
          <w:i/>
        </w:rPr>
        <w:lastRenderedPageBreak/>
        <w:t>Wenn man ökonomisch herangehen will, so sollte der Lohnsatz prinzipiell mit der (Grenz-) Produktivität eines Arbeitnehmers übereinstimmen: Ein Unternehmen wird ja solange Arbeit nachfragen, bis die Kosten der letzten eingesetzten Arbeitseinheit (=Lohn) genau durch zusätzliche Erlöse (=Grenzwertprodukt oder auch „mit Gütern bewertete Grenzproduktivität“) gedeckt ist. Eine produktivitätsorientierte Entlohnung würde darüber hinaus zu Vollbeschäftigung führen</w:t>
      </w:r>
      <w:r w:rsidR="00D63479" w:rsidRPr="00D63479">
        <w:rPr>
          <w:i/>
        </w:rPr>
        <w:t xml:space="preserve">. Ob allerdings ein produktivitätsorientierter Lohn in jedem Einzelfall auch für eine Einkommenssicherung ausreicht (was man ja gemeinhin als „gerecht“) interpretiert, ist a priori völlig offen. </w:t>
      </w:r>
    </w:p>
    <w:p w:rsidR="00A31C35" w:rsidRDefault="00E611E6" w:rsidP="00EB7299">
      <w:pPr>
        <w:pStyle w:val="Listenabsatz"/>
        <w:numPr>
          <w:ilvl w:val="0"/>
          <w:numId w:val="1"/>
        </w:numPr>
        <w:spacing w:after="240"/>
        <w:ind w:left="357" w:hanging="357"/>
        <w:contextualSpacing w:val="0"/>
        <w:jc w:val="both"/>
      </w:pPr>
      <w:r>
        <w:t>Was sind die wichtigsten Funktionen von „Geld“? (3 Punkte)</w:t>
      </w:r>
    </w:p>
    <w:p w:rsidR="00D63479" w:rsidRPr="00D63479" w:rsidRDefault="00D63479" w:rsidP="00D63479">
      <w:pPr>
        <w:pStyle w:val="Listenabsatz"/>
        <w:numPr>
          <w:ilvl w:val="0"/>
          <w:numId w:val="3"/>
        </w:numPr>
        <w:spacing w:after="240"/>
        <w:contextualSpacing w:val="0"/>
        <w:jc w:val="both"/>
        <w:rPr>
          <w:i/>
        </w:rPr>
      </w:pPr>
      <w:r w:rsidRPr="00D63479">
        <w:rPr>
          <w:i/>
        </w:rPr>
        <w:t>Zahlungsmittelfunktion</w:t>
      </w:r>
    </w:p>
    <w:p w:rsidR="00D63479" w:rsidRPr="00D63479" w:rsidRDefault="00D63479" w:rsidP="00D63479">
      <w:pPr>
        <w:pStyle w:val="Listenabsatz"/>
        <w:numPr>
          <w:ilvl w:val="0"/>
          <w:numId w:val="3"/>
        </w:numPr>
        <w:spacing w:after="240"/>
        <w:contextualSpacing w:val="0"/>
        <w:jc w:val="both"/>
        <w:rPr>
          <w:i/>
        </w:rPr>
      </w:pPr>
      <w:r w:rsidRPr="00D63479">
        <w:rPr>
          <w:i/>
        </w:rPr>
        <w:t>Funktion als Recheneinheit</w:t>
      </w:r>
    </w:p>
    <w:p w:rsidR="00D63479" w:rsidRPr="00D63479" w:rsidRDefault="00D63479" w:rsidP="00D63479">
      <w:pPr>
        <w:pStyle w:val="Listenabsatz"/>
        <w:numPr>
          <w:ilvl w:val="0"/>
          <w:numId w:val="3"/>
        </w:numPr>
        <w:spacing w:after="240"/>
        <w:contextualSpacing w:val="0"/>
        <w:jc w:val="both"/>
        <w:rPr>
          <w:i/>
        </w:rPr>
      </w:pPr>
      <w:r w:rsidRPr="00D63479">
        <w:rPr>
          <w:i/>
        </w:rPr>
        <w:t>Funktion als Wertaufbewahrungsmittel</w:t>
      </w:r>
    </w:p>
    <w:p w:rsidR="00E611E6" w:rsidRDefault="0024471A" w:rsidP="00EB7299">
      <w:pPr>
        <w:pStyle w:val="Listenabsatz"/>
        <w:numPr>
          <w:ilvl w:val="0"/>
          <w:numId w:val="1"/>
        </w:numPr>
        <w:spacing w:after="240"/>
        <w:ind w:left="357" w:hanging="357"/>
        <w:contextualSpacing w:val="0"/>
        <w:jc w:val="both"/>
      </w:pPr>
      <w:r>
        <w:t>Was besagt das „Ertragsgesetz“? (</w:t>
      </w:r>
      <w:r w:rsidR="002A2EF5">
        <w:t>3</w:t>
      </w:r>
      <w:r>
        <w:t xml:space="preserve"> Punkte)</w:t>
      </w:r>
    </w:p>
    <w:p w:rsidR="00D63479" w:rsidRPr="00D63479" w:rsidRDefault="00D63479" w:rsidP="00D63479">
      <w:pPr>
        <w:pStyle w:val="Listenabsatz"/>
        <w:spacing w:after="240"/>
        <w:ind w:left="357"/>
        <w:contextualSpacing w:val="0"/>
        <w:jc w:val="both"/>
        <w:rPr>
          <w:i/>
        </w:rPr>
      </w:pPr>
      <w:r w:rsidRPr="00D63479">
        <w:rPr>
          <w:i/>
        </w:rPr>
        <w:t>Abnehmende Grenzerträge von Produktionsfaktoren: Bei steigender Inputmenge immer kleinere Output-Zuwächse (also der „gebogene“ Verlauf einer Produktionsfunktion. „Viele Köche verderben den Brei“ als umgangssprachliche Umschreibung.</w:t>
      </w:r>
    </w:p>
    <w:p w:rsidR="0024471A" w:rsidRDefault="00E472CF" w:rsidP="00EB7299">
      <w:pPr>
        <w:pStyle w:val="Listenabsatz"/>
        <w:numPr>
          <w:ilvl w:val="0"/>
          <w:numId w:val="1"/>
        </w:numPr>
        <w:spacing w:after="240"/>
        <w:ind w:left="357" w:hanging="357"/>
        <w:contextualSpacing w:val="0"/>
        <w:jc w:val="both"/>
      </w:pPr>
      <w:r>
        <w:t xml:space="preserve">Nennen Sie die wichtigsten Marktformen! (3 Punkte) </w:t>
      </w:r>
    </w:p>
    <w:p w:rsidR="00D63479" w:rsidRPr="00D63479" w:rsidRDefault="00D63479" w:rsidP="00D63479">
      <w:pPr>
        <w:pStyle w:val="Listenabsatz"/>
        <w:numPr>
          <w:ilvl w:val="0"/>
          <w:numId w:val="3"/>
        </w:numPr>
        <w:spacing w:after="240"/>
        <w:contextualSpacing w:val="0"/>
        <w:jc w:val="both"/>
        <w:rPr>
          <w:i/>
        </w:rPr>
      </w:pPr>
      <w:r w:rsidRPr="00D63479">
        <w:rPr>
          <w:i/>
        </w:rPr>
        <w:t>Vollständiger Wettbewerb (Polypol)</w:t>
      </w:r>
    </w:p>
    <w:p w:rsidR="00D63479" w:rsidRPr="00D63479" w:rsidRDefault="00D63479" w:rsidP="00D63479">
      <w:pPr>
        <w:pStyle w:val="Listenabsatz"/>
        <w:numPr>
          <w:ilvl w:val="0"/>
          <w:numId w:val="3"/>
        </w:numPr>
        <w:spacing w:after="240"/>
        <w:contextualSpacing w:val="0"/>
        <w:jc w:val="both"/>
        <w:rPr>
          <w:i/>
        </w:rPr>
      </w:pPr>
      <w:r w:rsidRPr="00D63479">
        <w:rPr>
          <w:i/>
        </w:rPr>
        <w:t>Oligopol (wenige Anbieter, viele Nachfrage)</w:t>
      </w:r>
    </w:p>
    <w:p w:rsidR="00D63479" w:rsidRPr="00D63479" w:rsidRDefault="00D63479" w:rsidP="00D63479">
      <w:pPr>
        <w:pStyle w:val="Listenabsatz"/>
        <w:numPr>
          <w:ilvl w:val="0"/>
          <w:numId w:val="3"/>
        </w:numPr>
        <w:spacing w:after="240"/>
        <w:contextualSpacing w:val="0"/>
        <w:jc w:val="both"/>
        <w:rPr>
          <w:i/>
        </w:rPr>
      </w:pPr>
      <w:r w:rsidRPr="00D63479">
        <w:rPr>
          <w:i/>
        </w:rPr>
        <w:t>Monopol (ein einziger Anbieter, viele Nachfrager)</w:t>
      </w:r>
    </w:p>
    <w:p w:rsidR="00D63479" w:rsidRPr="00D63479" w:rsidRDefault="00D63479" w:rsidP="00D63479">
      <w:pPr>
        <w:pStyle w:val="Listenabsatz"/>
        <w:spacing w:after="240"/>
        <w:ind w:left="717"/>
        <w:contextualSpacing w:val="0"/>
        <w:jc w:val="both"/>
        <w:rPr>
          <w:i/>
        </w:rPr>
      </w:pPr>
      <w:r w:rsidRPr="00D63479">
        <w:rPr>
          <w:i/>
        </w:rPr>
        <w:t xml:space="preserve">(wenn man möchte, auch: </w:t>
      </w:r>
      <w:proofErr w:type="spellStart"/>
      <w:r w:rsidRPr="00D63479">
        <w:rPr>
          <w:i/>
        </w:rPr>
        <w:t>Monopson</w:t>
      </w:r>
      <w:proofErr w:type="spellEnd"/>
      <w:r w:rsidRPr="00D63479">
        <w:rPr>
          <w:i/>
        </w:rPr>
        <w:t>: Ein Nachfrager, viele Anbieter)</w:t>
      </w:r>
    </w:p>
    <w:p w:rsidR="0024471A" w:rsidRDefault="00A94486" w:rsidP="00EB7299">
      <w:pPr>
        <w:pStyle w:val="Listenabsatz"/>
        <w:numPr>
          <w:ilvl w:val="0"/>
          <w:numId w:val="1"/>
        </w:numPr>
        <w:spacing w:after="240"/>
        <w:ind w:left="357" w:hanging="357"/>
        <w:contextualSpacing w:val="0"/>
        <w:jc w:val="both"/>
      </w:pPr>
      <w:r>
        <w:t xml:space="preserve">Worum handelt es sich beim sogenannten </w:t>
      </w:r>
      <w:r w:rsidR="0024471A">
        <w:t>„</w:t>
      </w:r>
      <w:proofErr w:type="spellStart"/>
      <w:r w:rsidR="0024471A">
        <w:t>Kondratieff</w:t>
      </w:r>
      <w:proofErr w:type="spellEnd"/>
      <w:r w:rsidR="0024471A">
        <w:t>-Zykl</w:t>
      </w:r>
      <w:r>
        <w:t>us</w:t>
      </w:r>
      <w:r w:rsidR="0024471A">
        <w:t>“</w:t>
      </w:r>
      <w:r>
        <w:t xml:space="preserve">? </w:t>
      </w:r>
      <w:r w:rsidR="00E472CF">
        <w:t>(3 Punkte)</w:t>
      </w:r>
    </w:p>
    <w:p w:rsidR="00D63479" w:rsidRPr="00D63479" w:rsidRDefault="00D63479" w:rsidP="00D63479">
      <w:pPr>
        <w:pStyle w:val="Listenabsatz"/>
        <w:spacing w:after="240"/>
        <w:ind w:left="357"/>
        <w:contextualSpacing w:val="0"/>
        <w:jc w:val="both"/>
        <w:rPr>
          <w:i/>
        </w:rPr>
      </w:pPr>
      <w:r w:rsidRPr="00D63479">
        <w:rPr>
          <w:i/>
        </w:rPr>
        <w:t xml:space="preserve">Langfristiger Wachstumszyklus (50-70 Jahre), ausgelöst typischerweise durch bahnbrechende (Basis-)Innovationen, die in vielen Wirtschaftsbereichen Anwendung finden können. </w:t>
      </w:r>
    </w:p>
    <w:p w:rsidR="00E472CF" w:rsidRDefault="00E472CF" w:rsidP="00EB7299">
      <w:pPr>
        <w:pStyle w:val="Listenabsatz"/>
        <w:numPr>
          <w:ilvl w:val="0"/>
          <w:numId w:val="1"/>
        </w:numPr>
        <w:spacing w:after="240"/>
        <w:ind w:left="357" w:hanging="357"/>
        <w:contextualSpacing w:val="0"/>
        <w:jc w:val="both"/>
      </w:pPr>
      <w:r>
        <w:t>Worin liegt der wesentliche Beitrag von John Maynard Keynes zur makroökonomischen Theoriebildung? (</w:t>
      </w:r>
      <w:r w:rsidR="006E371E">
        <w:t>3</w:t>
      </w:r>
      <w:r>
        <w:t xml:space="preserve"> Punkte)</w:t>
      </w:r>
    </w:p>
    <w:p w:rsidR="00D63479" w:rsidRPr="00D63479" w:rsidRDefault="00D63479" w:rsidP="00D63479">
      <w:pPr>
        <w:pStyle w:val="Listenabsatz"/>
        <w:spacing w:after="240"/>
        <w:ind w:left="357"/>
        <w:contextualSpacing w:val="0"/>
        <w:jc w:val="both"/>
        <w:rPr>
          <w:i/>
        </w:rPr>
      </w:pPr>
      <w:r w:rsidRPr="00D63479">
        <w:rPr>
          <w:i/>
        </w:rPr>
        <w:t xml:space="preserve">Nachweis, dass stabile Unterbeschäftigungsgleichgewichte existieren können, weil es an Nachfrage fehlt. </w:t>
      </w:r>
    </w:p>
    <w:p w:rsidR="00E472CF" w:rsidRDefault="006E371E" w:rsidP="00EB7299">
      <w:pPr>
        <w:pStyle w:val="Listenabsatz"/>
        <w:numPr>
          <w:ilvl w:val="0"/>
          <w:numId w:val="1"/>
        </w:numPr>
        <w:spacing w:after="240"/>
        <w:ind w:left="357" w:hanging="357"/>
        <w:contextualSpacing w:val="0"/>
        <w:jc w:val="both"/>
      </w:pPr>
      <w:r>
        <w:t>Wie wirkt sich Preisdifferenzierung auf den gesamtwirtschaftlichen Wohlstand (gemessen an Konsumentenrente und Produzentenrente) aus? (3 Punkte)</w:t>
      </w:r>
    </w:p>
    <w:p w:rsidR="00D63479" w:rsidRPr="00D63479" w:rsidRDefault="00D63479" w:rsidP="00D63479">
      <w:pPr>
        <w:pStyle w:val="Listenabsatz"/>
        <w:spacing w:after="240"/>
        <w:ind w:left="357"/>
        <w:contextualSpacing w:val="0"/>
        <w:jc w:val="both"/>
        <w:rPr>
          <w:i/>
        </w:rPr>
      </w:pPr>
      <w:r w:rsidRPr="00D63479">
        <w:rPr>
          <w:i/>
        </w:rPr>
        <w:t xml:space="preserve">Preisdifferenzierung=Angebot unterschiedlicher Spielarten eines bestimmten Gutes, um damit die Zahlungsbereitschaft der Konsumenten auszunutzen: „Luxusversion“, die zu einem hohen Preis angeboten wird; „Standardversion“, die zu einem niedrigeren Preis angeboten wird; „Basisversion, die zu einem sehr niedrigen Preis angeboten wird. </w:t>
      </w:r>
    </w:p>
    <w:p w:rsidR="00D63479" w:rsidRPr="00D63479" w:rsidRDefault="00D63479" w:rsidP="00D63479">
      <w:pPr>
        <w:pStyle w:val="Listenabsatz"/>
        <w:spacing w:after="240"/>
        <w:ind w:left="357"/>
        <w:contextualSpacing w:val="0"/>
        <w:jc w:val="both"/>
        <w:rPr>
          <w:i/>
        </w:rPr>
      </w:pPr>
      <w:r w:rsidRPr="00D63479">
        <w:rPr>
          <w:i/>
        </w:rPr>
        <w:lastRenderedPageBreak/>
        <w:t xml:space="preserve">Dadurch kann der Anbieter Teile der Konsumentenrente abschöpfen; das gesamtwirtschaftliche Wohlstandsniveau bleibt gleich, wird aber anders zwischen Anbietern und Nachfragern aufgeteilt. </w:t>
      </w:r>
    </w:p>
    <w:p w:rsidR="006E371E" w:rsidRDefault="006E371E" w:rsidP="00EB7299">
      <w:pPr>
        <w:pStyle w:val="Listenabsatz"/>
        <w:numPr>
          <w:ilvl w:val="0"/>
          <w:numId w:val="1"/>
        </w:numPr>
        <w:spacing w:after="240"/>
        <w:ind w:left="357" w:hanging="357"/>
        <w:contextualSpacing w:val="0"/>
        <w:jc w:val="both"/>
      </w:pPr>
      <w:r>
        <w:t>Beschreiben Sie den Unterschied zwischen „</w:t>
      </w:r>
      <w:proofErr w:type="spellStart"/>
      <w:r>
        <w:t>Substitutionalität</w:t>
      </w:r>
      <w:proofErr w:type="spellEnd"/>
      <w:r>
        <w:t xml:space="preserve">“ und „Komplementarität“! </w:t>
      </w:r>
      <w:r w:rsidR="00EB7299">
        <w:br/>
      </w:r>
      <w:r>
        <w:t>(3 Punkte)</w:t>
      </w:r>
    </w:p>
    <w:p w:rsidR="00D63479" w:rsidRPr="00F70845" w:rsidRDefault="00D63479" w:rsidP="00D63479">
      <w:pPr>
        <w:pStyle w:val="Listenabsatz"/>
        <w:spacing w:after="240"/>
        <w:ind w:left="357"/>
        <w:contextualSpacing w:val="0"/>
        <w:jc w:val="both"/>
        <w:rPr>
          <w:i/>
        </w:rPr>
      </w:pPr>
      <w:proofErr w:type="spellStart"/>
      <w:r w:rsidRPr="00F70845">
        <w:rPr>
          <w:i/>
        </w:rPr>
        <w:t>Substitionalität</w:t>
      </w:r>
      <w:proofErr w:type="spellEnd"/>
      <w:r w:rsidRPr="00F70845">
        <w:rPr>
          <w:i/>
        </w:rPr>
        <w:t>: Zwei Güter erfüllen weitgehend gleiche Funktionen und können daher gegeneinander ausgetauscht wer</w:t>
      </w:r>
      <w:r w:rsidR="00F70845" w:rsidRPr="00F70845">
        <w:rPr>
          <w:i/>
        </w:rPr>
        <w:t>den (z.B. Sonnenblumenöl und Rapsöl)</w:t>
      </w:r>
    </w:p>
    <w:p w:rsidR="00F70845" w:rsidRDefault="00F70845" w:rsidP="00D63479">
      <w:pPr>
        <w:pStyle w:val="Listenabsatz"/>
        <w:spacing w:after="240"/>
        <w:ind w:left="357"/>
        <w:contextualSpacing w:val="0"/>
        <w:jc w:val="both"/>
        <w:rPr>
          <w:i/>
        </w:rPr>
      </w:pPr>
      <w:r w:rsidRPr="00F70845">
        <w:rPr>
          <w:i/>
        </w:rPr>
        <w:t>Komplementarität: Das eine Gut ist nur in Kombination mit dem anderen Gut sinnvoll zu nutzen (z.B. linker Schuh und rechter Schuh).</w:t>
      </w:r>
    </w:p>
    <w:p w:rsidR="00F70845" w:rsidRPr="00F70845" w:rsidRDefault="00F70845" w:rsidP="00D63479">
      <w:pPr>
        <w:pStyle w:val="Listenabsatz"/>
        <w:spacing w:after="240"/>
        <w:ind w:left="357"/>
        <w:contextualSpacing w:val="0"/>
        <w:jc w:val="both"/>
        <w:rPr>
          <w:i/>
        </w:rPr>
      </w:pPr>
      <w:r>
        <w:rPr>
          <w:i/>
        </w:rPr>
        <w:t xml:space="preserve">Zwischenformen sind natürlich möglich; beide Begriffe beschreiben nur die Extremformen. </w:t>
      </w:r>
      <w:r w:rsidRPr="00F70845">
        <w:rPr>
          <w:i/>
        </w:rPr>
        <w:t xml:space="preserve"> </w:t>
      </w:r>
    </w:p>
    <w:p w:rsidR="002A2EF5" w:rsidRDefault="002A2EF5" w:rsidP="00EB7299">
      <w:pPr>
        <w:pStyle w:val="Listenabsatz"/>
        <w:numPr>
          <w:ilvl w:val="0"/>
          <w:numId w:val="1"/>
        </w:numPr>
        <w:spacing w:after="240"/>
        <w:ind w:left="357" w:hanging="357"/>
        <w:contextualSpacing w:val="0"/>
        <w:jc w:val="both"/>
      </w:pPr>
      <w:r>
        <w:t xml:space="preserve">Über welche Instrumente kann die Zentralbank den Prozess der Geldschöpfung steuern? </w:t>
      </w:r>
      <w:r w:rsidR="00EB7299">
        <w:br/>
      </w:r>
      <w:r>
        <w:t>(3 Punkte)</w:t>
      </w:r>
    </w:p>
    <w:p w:rsidR="00F70845" w:rsidRPr="00F70845" w:rsidRDefault="00F70845" w:rsidP="00F70845">
      <w:pPr>
        <w:pStyle w:val="Listenabsatz"/>
        <w:spacing w:after="240"/>
        <w:ind w:left="357"/>
        <w:contextualSpacing w:val="0"/>
        <w:jc w:val="both"/>
        <w:rPr>
          <w:i/>
        </w:rPr>
      </w:pPr>
      <w:r w:rsidRPr="00F70845">
        <w:rPr>
          <w:i/>
        </w:rPr>
        <w:t xml:space="preserve">Festlegung des Zinssatzes, zu dem sich Geschäftsbanken bei der Notenbank Bargeld leihen können (bzw. </w:t>
      </w:r>
      <w:proofErr w:type="gramStart"/>
      <w:r w:rsidRPr="00F70845">
        <w:rPr>
          <w:i/>
        </w:rPr>
        <w:t>Bargeld</w:t>
      </w:r>
      <w:proofErr w:type="gramEnd"/>
      <w:r w:rsidRPr="00F70845">
        <w:rPr>
          <w:i/>
        </w:rPr>
        <w:t xml:space="preserve"> anlegen können) =&gt; Zinspolitik</w:t>
      </w:r>
    </w:p>
    <w:p w:rsidR="00F70845" w:rsidRPr="00F70845" w:rsidRDefault="00F70845" w:rsidP="00F70845">
      <w:pPr>
        <w:pStyle w:val="Listenabsatz"/>
        <w:spacing w:after="240"/>
        <w:ind w:left="357"/>
        <w:contextualSpacing w:val="0"/>
        <w:jc w:val="both"/>
        <w:rPr>
          <w:i/>
        </w:rPr>
      </w:pPr>
      <w:r w:rsidRPr="00F70845">
        <w:rPr>
          <w:i/>
        </w:rPr>
        <w:t>Festlegung der Mindestreserveanforderungen =&gt; Mindestreservepolitik</w:t>
      </w:r>
    </w:p>
    <w:p w:rsidR="00F70845" w:rsidRPr="00F70845" w:rsidRDefault="00F70845" w:rsidP="00F70845">
      <w:pPr>
        <w:pStyle w:val="Listenabsatz"/>
        <w:spacing w:after="240"/>
        <w:ind w:left="357"/>
        <w:contextualSpacing w:val="0"/>
        <w:jc w:val="both"/>
        <w:rPr>
          <w:i/>
        </w:rPr>
      </w:pPr>
      <w:r w:rsidRPr="00F70845">
        <w:rPr>
          <w:i/>
        </w:rPr>
        <w:t>Direkte Interventionen am Kapitalmarkt (Kauf/Verkauf von Wertpapieren); damit steuert sie die umlaufende Geldmenge und damit die Höhe der Geldschöpfungsmöglichkeiten der Geschäftsbanken =&gt; Offenmarktpolitik</w:t>
      </w:r>
    </w:p>
    <w:p w:rsidR="00F70845" w:rsidRPr="00F70845" w:rsidRDefault="00F70845" w:rsidP="00F70845">
      <w:pPr>
        <w:pStyle w:val="Listenabsatz"/>
        <w:spacing w:after="240"/>
        <w:ind w:left="357"/>
        <w:contextualSpacing w:val="0"/>
        <w:jc w:val="both"/>
        <w:rPr>
          <w:i/>
        </w:rPr>
      </w:pPr>
      <w:r w:rsidRPr="00F70845">
        <w:rPr>
          <w:i/>
        </w:rPr>
        <w:t>Direkte Interventionen am Devisenmarkt (Kauf/Verkauf von ausländischer Währung) =&gt; Wechselkurspolitik</w:t>
      </w:r>
    </w:p>
    <w:p w:rsidR="00F70845" w:rsidRDefault="00F70845" w:rsidP="00F70845">
      <w:pPr>
        <w:pStyle w:val="Listenabsatz"/>
        <w:spacing w:after="240"/>
        <w:ind w:left="357"/>
        <w:contextualSpacing w:val="0"/>
        <w:jc w:val="both"/>
      </w:pPr>
    </w:p>
    <w:sectPr w:rsidR="00F7084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E33F75"/>
    <w:multiLevelType w:val="hybridMultilevel"/>
    <w:tmpl w:val="5B5E77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2D2345D"/>
    <w:multiLevelType w:val="hybridMultilevel"/>
    <w:tmpl w:val="3FB8F1BC"/>
    <w:lvl w:ilvl="0" w:tplc="E2709EF8">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 w15:restartNumberingAfterBreak="0">
    <w:nsid w:val="73B23D59"/>
    <w:multiLevelType w:val="hybridMultilevel"/>
    <w:tmpl w:val="4C7CBE3E"/>
    <w:lvl w:ilvl="0" w:tplc="6F86E4B4">
      <w:start w:val="4"/>
      <w:numFmt w:val="bullet"/>
      <w:lvlText w:val="-"/>
      <w:lvlJc w:val="left"/>
      <w:pPr>
        <w:ind w:left="717" w:hanging="360"/>
      </w:pPr>
      <w:rPr>
        <w:rFonts w:ascii="Calibri" w:eastAsiaTheme="minorHAnsi" w:hAnsi="Calibri" w:cstheme="minorBidi" w:hint="default"/>
      </w:rPr>
    </w:lvl>
    <w:lvl w:ilvl="1" w:tplc="04070003" w:tentative="1">
      <w:start w:val="1"/>
      <w:numFmt w:val="bullet"/>
      <w:lvlText w:val="o"/>
      <w:lvlJc w:val="left"/>
      <w:pPr>
        <w:ind w:left="1437" w:hanging="360"/>
      </w:pPr>
      <w:rPr>
        <w:rFonts w:ascii="Courier New" w:hAnsi="Courier New" w:cs="Courier New" w:hint="default"/>
      </w:rPr>
    </w:lvl>
    <w:lvl w:ilvl="2" w:tplc="04070005" w:tentative="1">
      <w:start w:val="1"/>
      <w:numFmt w:val="bullet"/>
      <w:lvlText w:val=""/>
      <w:lvlJc w:val="left"/>
      <w:pPr>
        <w:ind w:left="2157" w:hanging="360"/>
      </w:pPr>
      <w:rPr>
        <w:rFonts w:ascii="Wingdings" w:hAnsi="Wingdings" w:hint="default"/>
      </w:rPr>
    </w:lvl>
    <w:lvl w:ilvl="3" w:tplc="04070001" w:tentative="1">
      <w:start w:val="1"/>
      <w:numFmt w:val="bullet"/>
      <w:lvlText w:val=""/>
      <w:lvlJc w:val="left"/>
      <w:pPr>
        <w:ind w:left="2877" w:hanging="360"/>
      </w:pPr>
      <w:rPr>
        <w:rFonts w:ascii="Symbol" w:hAnsi="Symbol" w:hint="default"/>
      </w:rPr>
    </w:lvl>
    <w:lvl w:ilvl="4" w:tplc="04070003" w:tentative="1">
      <w:start w:val="1"/>
      <w:numFmt w:val="bullet"/>
      <w:lvlText w:val="o"/>
      <w:lvlJc w:val="left"/>
      <w:pPr>
        <w:ind w:left="3597" w:hanging="360"/>
      </w:pPr>
      <w:rPr>
        <w:rFonts w:ascii="Courier New" w:hAnsi="Courier New" w:cs="Courier New" w:hint="default"/>
      </w:rPr>
    </w:lvl>
    <w:lvl w:ilvl="5" w:tplc="04070005" w:tentative="1">
      <w:start w:val="1"/>
      <w:numFmt w:val="bullet"/>
      <w:lvlText w:val=""/>
      <w:lvlJc w:val="left"/>
      <w:pPr>
        <w:ind w:left="4317" w:hanging="360"/>
      </w:pPr>
      <w:rPr>
        <w:rFonts w:ascii="Wingdings" w:hAnsi="Wingdings" w:hint="default"/>
      </w:rPr>
    </w:lvl>
    <w:lvl w:ilvl="6" w:tplc="04070001" w:tentative="1">
      <w:start w:val="1"/>
      <w:numFmt w:val="bullet"/>
      <w:lvlText w:val=""/>
      <w:lvlJc w:val="left"/>
      <w:pPr>
        <w:ind w:left="5037" w:hanging="360"/>
      </w:pPr>
      <w:rPr>
        <w:rFonts w:ascii="Symbol" w:hAnsi="Symbol" w:hint="default"/>
      </w:rPr>
    </w:lvl>
    <w:lvl w:ilvl="7" w:tplc="04070003" w:tentative="1">
      <w:start w:val="1"/>
      <w:numFmt w:val="bullet"/>
      <w:lvlText w:val="o"/>
      <w:lvlJc w:val="left"/>
      <w:pPr>
        <w:ind w:left="5757" w:hanging="360"/>
      </w:pPr>
      <w:rPr>
        <w:rFonts w:ascii="Courier New" w:hAnsi="Courier New" w:cs="Courier New" w:hint="default"/>
      </w:rPr>
    </w:lvl>
    <w:lvl w:ilvl="8" w:tplc="04070005" w:tentative="1">
      <w:start w:val="1"/>
      <w:numFmt w:val="bullet"/>
      <w:lvlText w:val=""/>
      <w:lvlJc w:val="left"/>
      <w:pPr>
        <w:ind w:left="6477"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783"/>
    <w:rsid w:val="00043596"/>
    <w:rsid w:val="000C1E87"/>
    <w:rsid w:val="0024471A"/>
    <w:rsid w:val="002A2EF5"/>
    <w:rsid w:val="00400B00"/>
    <w:rsid w:val="004642FB"/>
    <w:rsid w:val="0055081B"/>
    <w:rsid w:val="00565556"/>
    <w:rsid w:val="005C5551"/>
    <w:rsid w:val="0068126C"/>
    <w:rsid w:val="00685281"/>
    <w:rsid w:val="006E371E"/>
    <w:rsid w:val="006F2A3F"/>
    <w:rsid w:val="008E601D"/>
    <w:rsid w:val="00A31C35"/>
    <w:rsid w:val="00A94486"/>
    <w:rsid w:val="00B84099"/>
    <w:rsid w:val="00BE0E6A"/>
    <w:rsid w:val="00C10897"/>
    <w:rsid w:val="00C41013"/>
    <w:rsid w:val="00C804B5"/>
    <w:rsid w:val="00D3054A"/>
    <w:rsid w:val="00D63479"/>
    <w:rsid w:val="00DC2783"/>
    <w:rsid w:val="00E472CF"/>
    <w:rsid w:val="00E611E6"/>
    <w:rsid w:val="00EB7299"/>
    <w:rsid w:val="00F708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81061F-9179-42F8-94D5-6D66A0669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DC27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1728</Words>
  <Characters>10889</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Joachim Ragnitz</dc:creator>
  <cp:keywords/>
  <dc:description/>
  <cp:lastModifiedBy>Joachim Ragnitz</cp:lastModifiedBy>
  <cp:revision>3</cp:revision>
  <dcterms:created xsi:type="dcterms:W3CDTF">2016-01-26T15:48:00Z</dcterms:created>
  <dcterms:modified xsi:type="dcterms:W3CDTF">2016-03-16T22:40:00Z</dcterms:modified>
</cp:coreProperties>
</file>