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278" w:rsidRDefault="00323278" w:rsidP="00305B8F">
      <w:r>
        <w:t>Prof. Dr. Joachim Ragnitz</w:t>
      </w:r>
    </w:p>
    <w:p w:rsidR="00323278" w:rsidRDefault="00323278" w:rsidP="00305B8F"/>
    <w:p w:rsidR="00323278" w:rsidRDefault="00323278" w:rsidP="00305B8F"/>
    <w:p w:rsidR="00323278" w:rsidRPr="00323278" w:rsidRDefault="00323278" w:rsidP="00323278">
      <w:pPr>
        <w:jc w:val="center"/>
        <w:rPr>
          <w:b/>
        </w:rPr>
      </w:pPr>
      <w:r w:rsidRPr="00323278">
        <w:rPr>
          <w:b/>
        </w:rPr>
        <w:t>Klausur „Einführung in die Wirtschaftspolitik“ für Lehramtsstudenten</w:t>
      </w:r>
    </w:p>
    <w:p w:rsidR="00323278" w:rsidRDefault="00323278" w:rsidP="00323278">
      <w:pPr>
        <w:jc w:val="center"/>
      </w:pPr>
      <w:r>
        <w:t>WS 2016/17, 24.1.2017</w:t>
      </w:r>
    </w:p>
    <w:p w:rsidR="00323278" w:rsidRDefault="00323278" w:rsidP="00305B8F"/>
    <w:p w:rsidR="00B7130D" w:rsidRDefault="00B7130D" w:rsidP="00305B8F">
      <w:r>
        <w:t xml:space="preserve">Die Klausur besteht aus 12 Fragen; es können maximal </w:t>
      </w:r>
      <w:r w:rsidR="00D55F17">
        <w:t>64</w:t>
      </w:r>
      <w:r>
        <w:t xml:space="preserve"> Punkte erreicht werden. Für das Bestehe</w:t>
      </w:r>
      <w:r w:rsidR="00F013C3">
        <w:t>n der Klausur sind wenigstens 2</w:t>
      </w:r>
      <w:r w:rsidR="00D55F17">
        <w:t>2</w:t>
      </w:r>
      <w:r>
        <w:t xml:space="preserve"> Punkte erforderlich. </w:t>
      </w:r>
      <w:r w:rsidR="00323278">
        <w:t xml:space="preserve">Antworten in aussagekräftigen Stichworten sind ausreichend. </w:t>
      </w:r>
    </w:p>
    <w:p w:rsidR="00F013C3" w:rsidRDefault="00F013C3" w:rsidP="00305B8F">
      <w:bookmarkStart w:id="0" w:name="_GoBack"/>
      <w:bookmarkEnd w:id="0"/>
    </w:p>
    <w:p w:rsidR="00D62759" w:rsidRDefault="00FA2BAC" w:rsidP="00305B8F">
      <w:pPr>
        <w:pStyle w:val="Listenabsatz"/>
        <w:numPr>
          <w:ilvl w:val="0"/>
          <w:numId w:val="1"/>
        </w:numPr>
      </w:pPr>
      <w:r>
        <w:t xml:space="preserve">Definieren </w:t>
      </w:r>
      <w:r w:rsidR="00305B8F">
        <w:t xml:space="preserve">Sie </w:t>
      </w:r>
      <w:r>
        <w:t xml:space="preserve">(in Stichworten) </w:t>
      </w:r>
      <w:r w:rsidR="00305B8F">
        <w:t xml:space="preserve">die folgenden Grundbegriffe der </w:t>
      </w:r>
      <w:r w:rsidR="00D57304">
        <w:t>Volkswirtschaftslehre</w:t>
      </w:r>
    </w:p>
    <w:p w:rsidR="00305B8F" w:rsidRDefault="00305B8F" w:rsidP="00305B8F">
      <w:pPr>
        <w:pStyle w:val="Listenabsatz"/>
        <w:numPr>
          <w:ilvl w:val="0"/>
          <w:numId w:val="2"/>
        </w:numPr>
        <w:jc w:val="both"/>
      </w:pPr>
      <w:r>
        <w:t>Ökonomisches Prinzip (2 Punkte)</w:t>
      </w:r>
    </w:p>
    <w:p w:rsidR="00305B8F" w:rsidRDefault="00305B8F" w:rsidP="00305B8F">
      <w:pPr>
        <w:pStyle w:val="Listenabsatz"/>
        <w:jc w:val="both"/>
        <w:rPr>
          <w:i/>
        </w:rPr>
      </w:pPr>
      <w:r w:rsidRPr="00305B8F">
        <w:rPr>
          <w:i/>
        </w:rPr>
        <w:t>Produktion mit dem geringstmöglichen Ressourceneinsatz (=Effizienz)</w:t>
      </w:r>
    </w:p>
    <w:p w:rsidR="00D57304" w:rsidRPr="00D57304" w:rsidRDefault="00FA2BAC" w:rsidP="00D57304">
      <w:pPr>
        <w:pStyle w:val="Listenabsatz"/>
        <w:numPr>
          <w:ilvl w:val="0"/>
          <w:numId w:val="2"/>
        </w:numPr>
        <w:jc w:val="both"/>
      </w:pPr>
      <w:r w:rsidRPr="00D57304">
        <w:t>Vollständige Konkurrenz (2 Punkte)</w:t>
      </w:r>
    </w:p>
    <w:p w:rsidR="00FA2BAC" w:rsidRPr="00D57304" w:rsidRDefault="00FA2BAC" w:rsidP="00D57304">
      <w:pPr>
        <w:pStyle w:val="Listenabsatz"/>
        <w:jc w:val="both"/>
        <w:rPr>
          <w:i/>
        </w:rPr>
      </w:pPr>
      <w:r w:rsidRPr="00D57304">
        <w:rPr>
          <w:i/>
        </w:rPr>
        <w:t>Markt mit Wettbewerb zwischen vielen kleinen Anbietern und Nachfragern, von denen niemand einen Einfluss auf den Preis hat und diesen deshalb als gegeben annimmt; weitere Voraussetzungen: homogene Produkte, keine Transaktionskosten, sofortige Preisanpassung bei Datenänderungen.</w:t>
      </w:r>
    </w:p>
    <w:p w:rsidR="00D57304" w:rsidRDefault="00BB35E4" w:rsidP="00D57304">
      <w:pPr>
        <w:pStyle w:val="Listenabsatz"/>
        <w:numPr>
          <w:ilvl w:val="0"/>
          <w:numId w:val="2"/>
        </w:numPr>
        <w:jc w:val="both"/>
      </w:pPr>
      <w:r>
        <w:t>c</w:t>
      </w:r>
      <w:r w:rsidR="00D57304" w:rsidRPr="00D57304">
        <w:t>eteris-paribus-Bedingung</w:t>
      </w:r>
      <w:r w:rsidR="00D57304">
        <w:t xml:space="preserve"> (2 Punkte)</w:t>
      </w:r>
    </w:p>
    <w:p w:rsidR="00D57304" w:rsidRPr="00D57304" w:rsidRDefault="00D57304" w:rsidP="00D57304">
      <w:pPr>
        <w:pStyle w:val="Listenabsatz"/>
        <w:jc w:val="both"/>
      </w:pPr>
      <w:r w:rsidRPr="00D57304">
        <w:rPr>
          <w:i/>
        </w:rPr>
        <w:t>Annahme ökonomischer Modelle, bei denen nur ein Parameter (z.B. Preis) variiert wird, alle anderen möglichen Einflussfaktoren jedoch konstant gehalten werden</w:t>
      </w:r>
    </w:p>
    <w:p w:rsidR="00D57304" w:rsidRDefault="00D57304" w:rsidP="00D57304">
      <w:pPr>
        <w:pStyle w:val="Listenabsatz"/>
        <w:numPr>
          <w:ilvl w:val="0"/>
          <w:numId w:val="2"/>
        </w:numPr>
        <w:jc w:val="both"/>
      </w:pPr>
      <w:r w:rsidRPr="00BB35E4">
        <w:t>Produktionsfunktion</w:t>
      </w:r>
      <w:r>
        <w:t xml:space="preserve"> (2 Punkte)</w:t>
      </w:r>
    </w:p>
    <w:p w:rsidR="00D57304" w:rsidRDefault="00D57304" w:rsidP="00D57304">
      <w:pPr>
        <w:pStyle w:val="Listenabsatz"/>
        <w:jc w:val="both"/>
        <w:rPr>
          <w:i/>
        </w:rPr>
      </w:pPr>
      <w:r w:rsidRPr="00D57304">
        <w:rPr>
          <w:i/>
        </w:rPr>
        <w:t>Beziehung zwischen Produktion eines Gutes („Output“) und dem Einsatz eines oder mehrerer Produktionsfaktoren</w:t>
      </w:r>
      <w:r>
        <w:rPr>
          <w:i/>
        </w:rPr>
        <w:t>; typischerweise wird ein „ertragsgesetzlicher“ Verlauf unterstellt (Gesetz abnehmender Grenzerträge)</w:t>
      </w:r>
    </w:p>
    <w:p w:rsidR="00543C7E" w:rsidRPr="00543C7E" w:rsidRDefault="00543C7E" w:rsidP="00543C7E">
      <w:pPr>
        <w:pStyle w:val="Listenabsatz"/>
        <w:numPr>
          <w:ilvl w:val="0"/>
          <w:numId w:val="2"/>
        </w:numPr>
        <w:jc w:val="both"/>
      </w:pPr>
      <w:r w:rsidRPr="00543C7E">
        <w:t>Gleichgewichtspreis</w:t>
      </w:r>
      <w:r>
        <w:t xml:space="preserve"> (2 Punkte)</w:t>
      </w:r>
    </w:p>
    <w:p w:rsidR="00543C7E" w:rsidRDefault="00543C7E" w:rsidP="00543C7E">
      <w:pPr>
        <w:pStyle w:val="Listenabsatz"/>
        <w:jc w:val="both"/>
        <w:rPr>
          <w:i/>
        </w:rPr>
      </w:pPr>
      <w:r w:rsidRPr="00543C7E">
        <w:rPr>
          <w:i/>
        </w:rPr>
        <w:t>Markträumender Preis, bei dem sich Angebot und Nachfrage entsprechen</w:t>
      </w:r>
    </w:p>
    <w:p w:rsidR="00BB35E4" w:rsidRPr="00D55F17" w:rsidRDefault="00D55F17" w:rsidP="00BB35E4">
      <w:pPr>
        <w:pStyle w:val="Listenabsatz"/>
        <w:numPr>
          <w:ilvl w:val="0"/>
          <w:numId w:val="2"/>
        </w:numPr>
        <w:jc w:val="both"/>
      </w:pPr>
      <w:r w:rsidRPr="00D55F17">
        <w:t>Magisches Viereck</w:t>
      </w:r>
      <w:r>
        <w:t xml:space="preserve"> (2 Punkte)</w:t>
      </w:r>
    </w:p>
    <w:p w:rsidR="00D55F17" w:rsidRPr="00543C7E" w:rsidRDefault="00D55F17" w:rsidP="00D55F17">
      <w:pPr>
        <w:pStyle w:val="Listenabsatz"/>
        <w:jc w:val="both"/>
        <w:rPr>
          <w:i/>
        </w:rPr>
      </w:pPr>
      <w:r w:rsidRPr="00D55F17">
        <w:rPr>
          <w:i/>
        </w:rPr>
        <w:t>Zielgröße der Wirtschaftspolitik gemäß Stabilitätsgesetz: stetiges und angemessenes Wirtschaftswachstum; hoher Beschäftigungsstand; Stabilität des Preisniveaus; außenwirtschaftliches Gleichgewicht. „Magisches Viereck“ deshalb, weil die vier Ziele unter Umständen in Zielkonkurrenz zueinander stehen.</w:t>
      </w:r>
    </w:p>
    <w:p w:rsidR="00FA6B62" w:rsidRDefault="00FA6B62" w:rsidP="00305B8F">
      <w:pPr>
        <w:pStyle w:val="Listenabsatz"/>
        <w:numPr>
          <w:ilvl w:val="0"/>
          <w:numId w:val="1"/>
        </w:numPr>
        <w:jc w:val="both"/>
      </w:pPr>
      <w:r>
        <w:t>Die traditionelle Volkswirtschaftslehre basiert auf der Vorstellung des „homo oeconomicus“. Beschreiben Sie die grundlegenden Annahmen dieses Konzepts und bewerten Sie diese!</w:t>
      </w:r>
      <w:r w:rsidR="00B7130D">
        <w:t xml:space="preserve"> </w:t>
      </w:r>
      <w:r>
        <w:t xml:space="preserve">(4 Punkte) </w:t>
      </w:r>
    </w:p>
    <w:p w:rsidR="00FA6B62" w:rsidRDefault="00FA6B62" w:rsidP="00FA6B62">
      <w:pPr>
        <w:pStyle w:val="Listenabsatz"/>
        <w:jc w:val="both"/>
      </w:pPr>
      <w:r>
        <w:rPr>
          <w:i/>
        </w:rPr>
        <w:t xml:space="preserve">Der „homo oeconomicus“ stellt ein </w:t>
      </w:r>
      <w:r w:rsidRPr="00FA6B62">
        <w:rPr>
          <w:i/>
        </w:rPr>
        <w:t xml:space="preserve">idealisiertes Modell </w:t>
      </w:r>
      <w:r>
        <w:rPr>
          <w:i/>
        </w:rPr>
        <w:t xml:space="preserve">menschlichen Verhaltens auf, gekennzeichnet durch vollständige Rationalität, Zeitkonsistenz von Entscheidungen und dem Ziel der Nutzenmaximierung. In der Realität sind diese Voraussetzungen nicht gegeben, da zum einen die grundlegende Annahme vollständiger Information nicht zutrifft (die Berücksichtigung sämtlicher Handlungsalternativen ist nicht möglich, da diese entweder nicht bekannt sind oder nur unter Aufwendung von Informationskosten ermittelt werden können) und weil die individuellen Präferenzen zeit- und raumabhängig sein können (insoweit nicht unveränderlich sind). Zudem ist die Annahme nutzenmaximierenden Verhaltens nicht notwendigerweise zutreffend. </w:t>
      </w:r>
    </w:p>
    <w:p w:rsidR="00D55F17" w:rsidRPr="00641068" w:rsidRDefault="00D55F17" w:rsidP="00D55F17">
      <w:pPr>
        <w:pStyle w:val="Listenabsatz"/>
        <w:numPr>
          <w:ilvl w:val="0"/>
          <w:numId w:val="1"/>
        </w:numPr>
      </w:pPr>
      <w:r w:rsidRPr="00641068">
        <w:lastRenderedPageBreak/>
        <w:t>Wie lautet die grundlegende Funktion der makroökonomischen Verwendungsrechnung</w:t>
      </w:r>
      <w:r>
        <w:t xml:space="preserve"> (2 Punkte)</w:t>
      </w:r>
    </w:p>
    <w:p w:rsidR="00D55F17" w:rsidRDefault="00D55F17" w:rsidP="00D55F17">
      <w:pPr>
        <w:pStyle w:val="Listenabsatz"/>
        <w:rPr>
          <w:i/>
        </w:rPr>
      </w:pPr>
      <w:r>
        <w:rPr>
          <w:i/>
        </w:rPr>
        <w:t>Y=C+I+G+X-M (mit C=Konsum, I=Investitionen, G=Staatsnachfrage, X=Exportnachfrage, M=Importnachfrage)</w:t>
      </w:r>
    </w:p>
    <w:p w:rsidR="00305B8F" w:rsidRDefault="00305B8F" w:rsidP="00305B8F">
      <w:pPr>
        <w:pStyle w:val="Listenabsatz"/>
        <w:numPr>
          <w:ilvl w:val="0"/>
          <w:numId w:val="1"/>
        </w:numPr>
      </w:pPr>
      <w:r>
        <w:t xml:space="preserve">Was ist unter der </w:t>
      </w:r>
      <w:r w:rsidR="001D7C50">
        <w:t>Kreuzp</w:t>
      </w:r>
      <w:r>
        <w:t>reiselastizität der Nachfrage zu verstehen</w:t>
      </w:r>
      <w:r w:rsidR="001D7C50">
        <w:t xml:space="preserve">, und welche Mechanismen </w:t>
      </w:r>
      <w:r w:rsidR="00BB35E4">
        <w:t>sind bei ihrer Ableitung zu berücksichtigen</w:t>
      </w:r>
      <w:r w:rsidR="001D7C50">
        <w:t xml:space="preserve">? </w:t>
      </w:r>
      <w:r w:rsidR="00C61E11">
        <w:t>(</w:t>
      </w:r>
      <w:r w:rsidR="001D7C50">
        <w:t>6</w:t>
      </w:r>
      <w:r>
        <w:t xml:space="preserve"> Punkte)</w:t>
      </w:r>
    </w:p>
    <w:p w:rsidR="00305B8F" w:rsidRDefault="00305B8F" w:rsidP="00305B8F">
      <w:pPr>
        <w:pStyle w:val="Listenabsatz"/>
        <w:rPr>
          <w:i/>
        </w:rPr>
      </w:pPr>
      <w:r w:rsidRPr="00305B8F">
        <w:rPr>
          <w:i/>
        </w:rPr>
        <w:t xml:space="preserve">Die Preiselastizität ist ein Maß für die mengenmäßige Reaktion der Nachfrage nach einem bestimmten Gut bei Veränderungen des Preises eben dieses Gutes. Sie wird im Regelfall in relativer Form angegeben (prozentuale Mengenänderung in Prozent bei einer </w:t>
      </w:r>
      <w:proofErr w:type="spellStart"/>
      <w:r w:rsidRPr="00305B8F">
        <w:rPr>
          <w:i/>
        </w:rPr>
        <w:t>einprozentigen</w:t>
      </w:r>
      <w:proofErr w:type="spellEnd"/>
      <w:r w:rsidRPr="00305B8F">
        <w:rPr>
          <w:i/>
        </w:rPr>
        <w:t xml:space="preserve"> Preisänderung). Bei elastischer Reaktion erfolgt eine starke Mengenänderung, bei unelastischer Reaktion eine schwache Änderung.</w:t>
      </w:r>
      <w:r w:rsidR="001D7C50">
        <w:rPr>
          <w:i/>
        </w:rPr>
        <w:t xml:space="preserve"> </w:t>
      </w:r>
    </w:p>
    <w:p w:rsidR="001D7C50" w:rsidRDefault="001D7C50" w:rsidP="00305B8F">
      <w:pPr>
        <w:pStyle w:val="Listenabsatz"/>
        <w:rPr>
          <w:i/>
        </w:rPr>
      </w:pPr>
      <w:r>
        <w:rPr>
          <w:i/>
        </w:rPr>
        <w:t>Die Kreuzpreiselastizität gibt an, wie sich die Nachfrage nach einem bestimmten Gut bei Veränderung des Preises eines</w:t>
      </w:r>
      <w:r w:rsidR="00BB35E4">
        <w:rPr>
          <w:i/>
        </w:rPr>
        <w:t xml:space="preserve"> anderen</w:t>
      </w:r>
      <w:r>
        <w:rPr>
          <w:i/>
        </w:rPr>
        <w:t xml:space="preserve"> Gutes verändert. Der Substitutionseffekt wirkt dabei auf eine gegenläufige Reaktion hin (Preissteigerung bei Gut A macht Gut B relativ billiger, so dass die Nachfrage steigt), während der Einkommenseffekt in seiner Richtung unbestimmt ist (bei unelastischer Reaktion der Nachfrage nach Gut A: Preissteigerung bei Gut A führt zu Mehrausgaben auf dem Markt A, so dass für Gut B weniger freie Mittel verbleiben: negativer Effekt; bei elastischer Reaktion der Nachfrage nach Gut A: Preissteigerung bei Gut A führt zu starker Mengenreaktion, also Minderausgaben bei Gut A, so dass für Gut B mehr Mittel zur Verfügung stehen: positiver Effekt). Der Gesamteffekt ist a priori ungewiss; im Regelfall wird davon ausgegangen, dass der positive Substitutionseffekt einen möglicherweise negativen Einkommenseffekt überwiegt.</w:t>
      </w:r>
    </w:p>
    <w:p w:rsidR="00311793" w:rsidRPr="0071298D" w:rsidRDefault="00311793" w:rsidP="00311793">
      <w:pPr>
        <w:pStyle w:val="Listenabsatz"/>
        <w:numPr>
          <w:ilvl w:val="0"/>
          <w:numId w:val="1"/>
        </w:numPr>
      </w:pPr>
      <w:r w:rsidRPr="0071298D">
        <w:t>Gegeben sei ein monopolistischer Anbieter. Dieser kann zwar den Preis P fixieren, muss aber dann die Absatzmenge x akzeptieren, die sich durch die Nachfrage ergibt. Im folgenden Diagramm sind die Nachfragefunktion (P=15-x/2) und die Kostenfunktion K des Monopolisten (K=3x) angegeben. Außerdem ist der sich ergebende Erlös E des Monopolisten bei unterschiedlicher Preissetzung dargestellt (E=P*x=15x-0,5x</w:t>
      </w:r>
      <w:r w:rsidRPr="0071298D">
        <w:rPr>
          <w:vertAlign w:val="superscript"/>
        </w:rPr>
        <w:t>2</w:t>
      </w:r>
      <w:r w:rsidRPr="0071298D">
        <w:t xml:space="preserve">) angegeben.   </w:t>
      </w:r>
    </w:p>
    <w:p w:rsidR="00311793" w:rsidRPr="0071298D" w:rsidRDefault="00311793" w:rsidP="00311793">
      <w:pPr>
        <w:pStyle w:val="Listenabsatz"/>
      </w:pPr>
      <w:r w:rsidRPr="0071298D">
        <w:t xml:space="preserve">Ermitteln Sie graphisch </w:t>
      </w:r>
      <w:r w:rsidRPr="0071298D">
        <w:rPr>
          <w:u w:val="single"/>
        </w:rPr>
        <w:t>oder</w:t>
      </w:r>
      <w:r w:rsidRPr="0071298D">
        <w:t xml:space="preserve"> unter Verwendung der angegebenen Formeln, </w:t>
      </w:r>
      <w:r w:rsidR="00641068">
        <w:t>welchen</w:t>
      </w:r>
      <w:r w:rsidRPr="0071298D">
        <w:t xml:space="preserve"> Preis </w:t>
      </w:r>
      <w:r w:rsidR="00641068">
        <w:t xml:space="preserve">ein gewinnmaximierendes </w:t>
      </w:r>
      <w:r w:rsidRPr="0071298D">
        <w:t>Monopol</w:t>
      </w:r>
      <w:r w:rsidR="00641068">
        <w:t xml:space="preserve">unternehmen festsetzen </w:t>
      </w:r>
      <w:r w:rsidRPr="0071298D">
        <w:t xml:space="preserve">wird. </w:t>
      </w:r>
      <w:r w:rsidR="0071298D" w:rsidRPr="0071298D">
        <w:t>(bei graphischer Darstellung verwenden Sie bitte das Diagramm auf dem Aufgabenblatt)</w:t>
      </w:r>
      <w:r w:rsidR="00641068">
        <w:t xml:space="preserve"> (6 Punkte)</w:t>
      </w:r>
    </w:p>
    <w:p w:rsidR="00311793" w:rsidRDefault="00311793" w:rsidP="00311793">
      <w:pPr>
        <w:pStyle w:val="Listenabsatz"/>
        <w:rPr>
          <w:i/>
        </w:rPr>
      </w:pPr>
      <w:r>
        <w:rPr>
          <w:noProof/>
          <w:lang w:eastAsia="de-DE"/>
        </w:rPr>
        <w:drawing>
          <wp:inline distT="0" distB="0" distL="0" distR="0" wp14:anchorId="6BD924E3" wp14:editId="248A6280">
            <wp:extent cx="3652838" cy="2743200"/>
            <wp:effectExtent l="0" t="0" r="5080" b="0"/>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1298D" w:rsidRDefault="0071298D" w:rsidP="00311793">
      <w:pPr>
        <w:pStyle w:val="Listenabsatz"/>
        <w:rPr>
          <w:i/>
        </w:rPr>
      </w:pPr>
    </w:p>
    <w:p w:rsidR="0071298D" w:rsidRDefault="0071298D" w:rsidP="00311793">
      <w:pPr>
        <w:pStyle w:val="Listenabsatz"/>
        <w:rPr>
          <w:i/>
        </w:rPr>
      </w:pPr>
      <w:r>
        <w:rPr>
          <w:i/>
        </w:rPr>
        <w:t xml:space="preserve">Lösung: Die Gewinnmaximierungsbedingung des Monopolisten lautet: Grenzerlös=Grenzkosten. Es müssen also die Grenzerlös- bzw. Grenzkostenkurve/-funktion ermittelt werden. </w:t>
      </w:r>
    </w:p>
    <w:p w:rsidR="0071298D" w:rsidRDefault="0071298D" w:rsidP="00311793">
      <w:pPr>
        <w:pStyle w:val="Listenabsatz"/>
        <w:rPr>
          <w:i/>
        </w:rPr>
      </w:pPr>
      <w:r>
        <w:rPr>
          <w:i/>
        </w:rPr>
        <w:lastRenderedPageBreak/>
        <w:t xml:space="preserve">Mathematische Ableitung: </w:t>
      </w:r>
    </w:p>
    <w:p w:rsidR="0071298D" w:rsidRDefault="0071298D" w:rsidP="00311793">
      <w:pPr>
        <w:pStyle w:val="Listenabsatz"/>
        <w:rPr>
          <w:i/>
        </w:rPr>
      </w:pPr>
      <w:r>
        <w:rPr>
          <w:i/>
        </w:rPr>
        <w:t>Grenzkosten=</w:t>
      </w:r>
      <w:proofErr w:type="spellStart"/>
      <w:r>
        <w:rPr>
          <w:i/>
        </w:rPr>
        <w:t>dK</w:t>
      </w:r>
      <w:proofErr w:type="spellEnd"/>
      <w:r>
        <w:rPr>
          <w:i/>
        </w:rPr>
        <w:t>/dx=3 (im Schaubild also eine Parallele zur x-Achse beim Wert 3)</w:t>
      </w:r>
    </w:p>
    <w:p w:rsidR="0071298D" w:rsidRDefault="0071298D" w:rsidP="00311793">
      <w:pPr>
        <w:pStyle w:val="Listenabsatz"/>
        <w:rPr>
          <w:i/>
        </w:rPr>
      </w:pPr>
      <w:r>
        <w:rPr>
          <w:i/>
        </w:rPr>
        <w:t>Grenzerlös=</w:t>
      </w:r>
      <w:proofErr w:type="spellStart"/>
      <w:r>
        <w:rPr>
          <w:i/>
        </w:rPr>
        <w:t>dE</w:t>
      </w:r>
      <w:proofErr w:type="spellEnd"/>
      <w:r>
        <w:rPr>
          <w:i/>
        </w:rPr>
        <w:t>/dx=15-x (im Schaubild also die Winkelhalbierende zwischen der Nachfragefunktion und der P-Achse)</w:t>
      </w:r>
    </w:p>
    <w:p w:rsidR="0071298D" w:rsidRDefault="0071298D" w:rsidP="00311793">
      <w:pPr>
        <w:pStyle w:val="Listenabsatz"/>
        <w:rPr>
          <w:i/>
        </w:rPr>
      </w:pPr>
      <w:r>
        <w:rPr>
          <w:i/>
        </w:rPr>
        <w:t xml:space="preserve">Als Gewinnmaximierungsbedingung folgt: 15-x=3=&gt;x=12; hierzu gehört gemäß der oben angegebenen Formel der </w:t>
      </w:r>
      <w:r w:rsidRPr="00BB35E4">
        <w:rPr>
          <w:i/>
        </w:rPr>
        <w:t>Preis P=</w:t>
      </w:r>
      <w:r w:rsidR="00BB35E4" w:rsidRPr="00BB35E4">
        <w:rPr>
          <w:i/>
        </w:rPr>
        <w:t>15-x/2</w:t>
      </w:r>
      <w:r w:rsidR="00BB35E4" w:rsidRPr="00BB35E4">
        <w:rPr>
          <w:i/>
        </w:rPr>
        <w:t>=</w:t>
      </w:r>
      <w:r w:rsidRPr="00BB35E4">
        <w:rPr>
          <w:i/>
        </w:rPr>
        <w:t>9</w:t>
      </w:r>
      <w:r>
        <w:rPr>
          <w:i/>
        </w:rPr>
        <w:t xml:space="preserve">. </w:t>
      </w:r>
    </w:p>
    <w:p w:rsidR="00BB35E4" w:rsidRDefault="0071298D" w:rsidP="00311793">
      <w:pPr>
        <w:pStyle w:val="Listenabsatz"/>
        <w:rPr>
          <w:i/>
        </w:rPr>
      </w:pPr>
      <w:r>
        <w:rPr>
          <w:i/>
        </w:rPr>
        <w:t>Graphische Ableitung: Es müssen die Grenzkostenkurve und die Grenzerlöskurve eingezeichnet werden</w:t>
      </w:r>
      <w:r w:rsidR="00641068">
        <w:rPr>
          <w:i/>
        </w:rPr>
        <w:t xml:space="preserve"> (hier in rot)</w:t>
      </w:r>
      <w:r>
        <w:rPr>
          <w:i/>
        </w:rPr>
        <w:t xml:space="preserve">. </w:t>
      </w:r>
      <w:r w:rsidR="00BB35E4">
        <w:rPr>
          <w:i/>
        </w:rPr>
        <w:t>Diese schneiden sich beim Wert GK=GE=3 (zugehöriges x=12). Der zugehörige Preis (auf der Nachfragekurve ablesbar) ist dann P=9 (blaue Linien).</w:t>
      </w:r>
    </w:p>
    <w:p w:rsidR="0071298D" w:rsidRDefault="00641068" w:rsidP="00311793">
      <w:pPr>
        <w:pStyle w:val="Listenabsatz"/>
        <w:rPr>
          <w:i/>
        </w:rPr>
      </w:pPr>
      <w:r>
        <w:rPr>
          <w:i/>
        </w:rPr>
        <w:t xml:space="preserve">Falls gewünscht, kann auch (zur Probe) die Gewinnfunktion eingezeichnet werden (der vertikale Abstand zwischen Erlös- und Kostenkurve); dieser ist tatsächlich beim Preis P=9 und der dazugehörigen Menge x=12 am höchsten. </w:t>
      </w:r>
    </w:p>
    <w:p w:rsidR="00241209" w:rsidRPr="00241209" w:rsidRDefault="00241209" w:rsidP="00241209">
      <w:pPr>
        <w:pStyle w:val="Listenabsatz"/>
        <w:rPr>
          <w:i/>
        </w:rPr>
      </w:pPr>
    </w:p>
    <w:p w:rsidR="0071298D" w:rsidRDefault="0071298D" w:rsidP="00311793">
      <w:pPr>
        <w:pStyle w:val="Listenabsatz"/>
        <w:rPr>
          <w:i/>
        </w:rPr>
      </w:pPr>
      <w:r>
        <w:rPr>
          <w:noProof/>
          <w:lang w:eastAsia="de-DE"/>
        </w:rPr>
        <w:drawing>
          <wp:inline distT="0" distB="0" distL="0" distR="0" wp14:anchorId="5EA93EC2" wp14:editId="4BA62712">
            <wp:extent cx="3652838" cy="3114675"/>
            <wp:effectExtent l="0" t="0" r="5080" b="9525"/>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41209" w:rsidRDefault="00241209" w:rsidP="00311793">
      <w:pPr>
        <w:pStyle w:val="Listenabsatz"/>
        <w:rPr>
          <w:i/>
        </w:rPr>
      </w:pPr>
    </w:p>
    <w:p w:rsidR="00241209" w:rsidRDefault="00241209" w:rsidP="00311793">
      <w:pPr>
        <w:pStyle w:val="Listenabsatz"/>
        <w:rPr>
          <w:i/>
        </w:rPr>
      </w:pPr>
    </w:p>
    <w:p w:rsidR="00D55F17" w:rsidRDefault="00D55F17" w:rsidP="00D55F17">
      <w:pPr>
        <w:pStyle w:val="Listenabsatz"/>
        <w:numPr>
          <w:ilvl w:val="0"/>
          <w:numId w:val="1"/>
        </w:numPr>
      </w:pPr>
      <w:r>
        <w:t>Der wohlfahrtsmaximierende Effekt wettbewerblicher Preisbildung kann durch die Summe aus Konsumenten- bzw. Produzentenrente gemessen werden. Welche Vorstellung liegt diesem Konzept zugrunde? (4 Punkte)</w:t>
      </w:r>
    </w:p>
    <w:p w:rsidR="00D55F17" w:rsidRDefault="00D55F17" w:rsidP="00D55F17">
      <w:pPr>
        <w:pStyle w:val="Listenabsatz"/>
        <w:rPr>
          <w:i/>
        </w:rPr>
      </w:pPr>
      <w:r w:rsidRPr="00087D90">
        <w:rPr>
          <w:i/>
        </w:rPr>
        <w:t xml:space="preserve">Auf Wettbewerbsmärkten bildet sich für alle Anbieter und Nachfrager ein einheitlicher Preis heraus. Die Konsumentenrente stellt dabei die Summe der individuellen Zahlungsbereitschaft (gemessen an der Nachfragekurve) und dem gegebenen Marktpreis dar; die Produzentenrente die Summe der Differenz zwischen möglichem Angebotspreis der Produzenten und dem gegebenen Marktpreis. (in graphischer Darstellung: Konsumentenrente=Fläche unterhalb der Nachfragekurve bis zum Marktpreis; Produzentenrente=Fläche oberhalb der Angebotskurve bis zum Marktpreis). Die Anbieter haben also einen „Zusatzgewinn“ dadurch, dass sie einen höheren Preis erzielen können als es ihrer Kostensituation entspräche. Die Nachfrager wiederum haben einen „Zusatznutzen“ dadurch, dass sie einen niedrigeren Preis zahlen müssen als es ihrer Zahlungsbereitschaft entspricht. </w:t>
      </w:r>
    </w:p>
    <w:p w:rsidR="00D55F17" w:rsidRPr="00FA2BAC" w:rsidRDefault="00D55F17" w:rsidP="00D55F17">
      <w:pPr>
        <w:pStyle w:val="Listenabsatz"/>
        <w:numPr>
          <w:ilvl w:val="0"/>
          <w:numId w:val="1"/>
        </w:numPr>
        <w:jc w:val="both"/>
      </w:pPr>
      <w:r w:rsidRPr="00FA2BAC">
        <w:t xml:space="preserve">Entsprechend allgemeinem Verständnis soll eine Notenbank unabhängig </w:t>
      </w:r>
      <w:r>
        <w:t>von politischer Einflussnahme sein</w:t>
      </w:r>
      <w:r w:rsidRPr="00FA2BAC">
        <w:t xml:space="preserve">, also keinerlei Weisungen </w:t>
      </w:r>
      <w:r>
        <w:t xml:space="preserve">durch andere staatliche Institutionen </w:t>
      </w:r>
      <w:r w:rsidRPr="00FA2BAC">
        <w:lastRenderedPageBreak/>
        <w:t xml:space="preserve">unterworfen sein. Welche Gründe sind </w:t>
      </w:r>
      <w:r>
        <w:t xml:space="preserve">Ihre Meinung nach </w:t>
      </w:r>
      <w:r w:rsidRPr="00FA2BAC">
        <w:t xml:space="preserve">hierfür ausschlaggebend? </w:t>
      </w:r>
      <w:r>
        <w:t>(4 Punkte)</w:t>
      </w:r>
    </w:p>
    <w:p w:rsidR="00D55F17" w:rsidRPr="00305B8F" w:rsidRDefault="00D55F17" w:rsidP="00D55F17">
      <w:pPr>
        <w:pStyle w:val="Listenabsatz"/>
        <w:jc w:val="both"/>
        <w:rPr>
          <w:i/>
        </w:rPr>
      </w:pPr>
      <w:r>
        <w:rPr>
          <w:i/>
        </w:rPr>
        <w:t xml:space="preserve">Die wichtigste Aufgabe der Notenbank besteht nach allgemeiner Auffassung darin, die Preisniveaustabilität zu bewahren. Sie sollte daher nicht in den Dienst der allgemeinen Wirtschaftspolitik gestellt werden, die gemeinhin andere Ziele verfolgt (z.B. Stabilisierung des Wirtschaftsablaufs, Stärkung des Wirtschaftswachstums durch Allokationspolitiken, Korrekturen der Einkommensverteilung u.a.). Aus diesem Grund ist die Unabhängigkeit der Zentralbank in den meisten Staaten gesetzlich festgeschrieben. </w:t>
      </w:r>
    </w:p>
    <w:p w:rsidR="00241209" w:rsidRPr="00241209" w:rsidRDefault="00241209" w:rsidP="00241209">
      <w:pPr>
        <w:pStyle w:val="Listenabsatz"/>
        <w:numPr>
          <w:ilvl w:val="0"/>
          <w:numId w:val="1"/>
        </w:numPr>
      </w:pPr>
      <w:r w:rsidRPr="00241209">
        <w:t>Die Geldpolitik der Europäischen Zentralbank ist derzeit stark expansiv ausgerichtet. Welche Risiken sind hiermit verbunden?</w:t>
      </w:r>
      <w:r>
        <w:t xml:space="preserve"> (4 Punkte)</w:t>
      </w:r>
    </w:p>
    <w:p w:rsidR="00241209" w:rsidRDefault="00241209" w:rsidP="00241209">
      <w:pPr>
        <w:pStyle w:val="Listenabsatz"/>
        <w:rPr>
          <w:i/>
        </w:rPr>
      </w:pPr>
      <w:r w:rsidRPr="00241209">
        <w:rPr>
          <w:i/>
        </w:rPr>
        <w:t>Entsprechend der Quantitätstheorie führt eine expansive Geldpolitik, bei der die Geldmenge über den Transaktionsbedarf der Wirtschaft hinaus ausgeweitet wird, mittelfristig zu inflationären Tendenzen. Dies gilt in besonderem Maße für diejenigen Länder der Europäischen Union, bei denen die Kapazitäten bereits heute stark ausgelastet sind. Inflation wiederum gilt als schädlich, weil damit die Preisfunktionen beeinträchtigt werden, damit die Allokation der Ressourcen gestört wird und es zu Umverteilungseffekten zulasten der Gläubiger/zugunsten der Schuldner kommt.</w:t>
      </w:r>
    </w:p>
    <w:p w:rsidR="00087D90" w:rsidRDefault="00AC0031" w:rsidP="00087D90">
      <w:pPr>
        <w:pStyle w:val="Listenabsatz"/>
        <w:numPr>
          <w:ilvl w:val="0"/>
          <w:numId w:val="1"/>
        </w:numPr>
      </w:pPr>
      <w:r>
        <w:t>Entsprechend makroökonomischer Vorstellung soll die Fiskalpolitik auch dazu eingesetzt werden, konjunkturelle Schwankungen zu glätten. Welcher grundlegende Mechanismus liegt dieser Idee zugrunde? (4 Punkte)</w:t>
      </w:r>
    </w:p>
    <w:p w:rsidR="00AC0031" w:rsidRDefault="00AC0031" w:rsidP="00AC0031">
      <w:pPr>
        <w:pStyle w:val="Listenabsatz"/>
        <w:rPr>
          <w:i/>
        </w:rPr>
      </w:pPr>
      <w:r w:rsidRPr="00AC0031">
        <w:rPr>
          <w:i/>
        </w:rPr>
        <w:t xml:space="preserve">Nach Keynes kommt es zu makroökonomischen Ungleichgewichten, wenn die Nachfrage (beispielsweise wegen einer zu hohen Sparneigung der privaten Haushalte oder einer unzureichenden Investitionsbereitschaft der Unternehmen) nicht ausreicht, die bestehenden Angebotskapazitäten vollständig auszulasten. In dieser Situation soll der Staat durch zusätzliche (kreditfinanzierte) Nachfrage die Auslastung der Kapazitäten erhöhen. Dabei reichen verhältnismäßig geringe fiskalpolitische Impulse aus, weil mit der zusätzlichen Nachfrage zusätzliche Einkommen geschaffen werden, die wiederum einen (expansiven)  </w:t>
      </w:r>
      <w:proofErr w:type="spellStart"/>
      <w:r w:rsidRPr="00AC0031">
        <w:rPr>
          <w:i/>
        </w:rPr>
        <w:t>Multiplikatorprozess</w:t>
      </w:r>
      <w:proofErr w:type="spellEnd"/>
      <w:r w:rsidRPr="00AC0031">
        <w:rPr>
          <w:i/>
        </w:rPr>
        <w:t xml:space="preserve"> in Gang setzen.</w:t>
      </w:r>
      <w:r>
        <w:rPr>
          <w:i/>
        </w:rPr>
        <w:t xml:space="preserve"> Im Ergebnis steigt die Nachfrage dabei um ein Vielfaches des ursprünglichen Impulses an; der rechnerische </w:t>
      </w:r>
      <w:proofErr w:type="spellStart"/>
      <w:r>
        <w:rPr>
          <w:i/>
        </w:rPr>
        <w:t>Multiplikatoreffekt</w:t>
      </w:r>
      <w:proofErr w:type="spellEnd"/>
      <w:r>
        <w:rPr>
          <w:i/>
        </w:rPr>
        <w:t xml:space="preserve"> beträgt dabei </w:t>
      </w:r>
      <w:proofErr w:type="spellStart"/>
      <w:r>
        <w:rPr>
          <w:i/>
        </w:rPr>
        <w:t>mult</w:t>
      </w:r>
      <w:proofErr w:type="spellEnd"/>
      <w:r>
        <w:rPr>
          <w:i/>
        </w:rPr>
        <w:t xml:space="preserve">=1/s (im Falle einer geschlossenen Volkswirtschaft) bzw. </w:t>
      </w:r>
      <w:proofErr w:type="spellStart"/>
      <w:r>
        <w:rPr>
          <w:i/>
        </w:rPr>
        <w:t>mult</w:t>
      </w:r>
      <w:proofErr w:type="spellEnd"/>
      <w:r>
        <w:rPr>
          <w:i/>
        </w:rPr>
        <w:t>=1/(</w:t>
      </w:r>
      <w:proofErr w:type="spellStart"/>
      <w:r>
        <w:rPr>
          <w:i/>
        </w:rPr>
        <w:t>s+m</w:t>
      </w:r>
      <w:proofErr w:type="spellEnd"/>
      <w:r>
        <w:rPr>
          <w:i/>
        </w:rPr>
        <w:t xml:space="preserve">), mit s=Sparquote und m=Importquote. </w:t>
      </w:r>
    </w:p>
    <w:p w:rsidR="00AC0031" w:rsidRPr="00683251" w:rsidRDefault="00AC0031" w:rsidP="00AC0031">
      <w:pPr>
        <w:pStyle w:val="Listenabsatz"/>
        <w:numPr>
          <w:ilvl w:val="0"/>
          <w:numId w:val="1"/>
        </w:numPr>
      </w:pPr>
      <w:r w:rsidRPr="00683251">
        <w:t xml:space="preserve">Es gilt als gesicherte Erkenntnis wirtschaftswissenschaftlicher Theoriebildung, dass Beschränkungen des grenzüberschreitenden Handels zu Wohlfahrtsverlusten führen. Dies spricht für einen globalen Freihandel. </w:t>
      </w:r>
      <w:r w:rsidR="00A900E5" w:rsidRPr="00683251">
        <w:t xml:space="preserve">Der neugewählte amerikanische Präsident </w:t>
      </w:r>
      <w:r w:rsidR="00BB35E4">
        <w:t xml:space="preserve">Donald Trump </w:t>
      </w:r>
      <w:r w:rsidR="00A900E5" w:rsidRPr="00683251">
        <w:t>hat sich gleichwohl für Außenhandelsbeschränkungen (z.B. Zölle auf Einfuhren aus China und Mexiko</w:t>
      </w:r>
      <w:r w:rsidR="00BB35E4">
        <w:t>, gegebenenfalls auch auf deutsche Autos</w:t>
      </w:r>
      <w:r w:rsidR="00A900E5" w:rsidRPr="00683251">
        <w:t xml:space="preserve">) und gegen eine Fortführung der Verhandlungen um ein Transatlantisches (TTIP) bzw. Transpazifisches (TPP) Freihandelsabkommen ausgesprochen. </w:t>
      </w:r>
    </w:p>
    <w:p w:rsidR="00A900E5" w:rsidRDefault="00A900E5" w:rsidP="00A900E5">
      <w:pPr>
        <w:pStyle w:val="Listenabsatz"/>
        <w:rPr>
          <w:i/>
        </w:rPr>
      </w:pPr>
      <w:r w:rsidRPr="00683251">
        <w:t xml:space="preserve">Welche Überlegungen können aus Ihrer Sicht </w:t>
      </w:r>
      <w:r w:rsidRPr="00BB35E4">
        <w:rPr>
          <w:i/>
        </w:rPr>
        <w:t>gegen</w:t>
      </w:r>
      <w:r w:rsidRPr="00683251">
        <w:t xml:space="preserve"> eine weitergehende Liberalisierung des Außenhandels sprechen?</w:t>
      </w:r>
      <w:r w:rsidR="00683251">
        <w:t xml:space="preserve"> (6 Punkte)</w:t>
      </w:r>
    </w:p>
    <w:p w:rsidR="00683251" w:rsidRDefault="00A900E5" w:rsidP="00A900E5">
      <w:pPr>
        <w:pStyle w:val="Listenabsatz"/>
        <w:rPr>
          <w:i/>
        </w:rPr>
      </w:pPr>
      <w:r>
        <w:rPr>
          <w:i/>
        </w:rPr>
        <w:t xml:space="preserve">Freihandel führt dazu, dass sich die beteiligten Volkswirtschaften entsprechend ihrer (komparativen) Kostenvorteile spezialisieren. </w:t>
      </w:r>
      <w:r w:rsidR="00683251">
        <w:rPr>
          <w:i/>
        </w:rPr>
        <w:t xml:space="preserve">Im Idealfall entstehen Kostenunterschiede der genannten Art durch eine unterschiedliche Ausstattung mit Produktionsfaktoren (arbeitsintensive Länder=&gt;niedrige Arbeitskosten) oder durch unterschiedliche branchenspezifische </w:t>
      </w:r>
      <w:proofErr w:type="spellStart"/>
      <w:r w:rsidR="00683251">
        <w:rPr>
          <w:i/>
        </w:rPr>
        <w:t>Produktivitäten</w:t>
      </w:r>
      <w:proofErr w:type="spellEnd"/>
      <w:r w:rsidR="00683251">
        <w:rPr>
          <w:i/>
        </w:rPr>
        <w:t xml:space="preserve"> (technologisch fortgeschrittene Länder=&gt;höhere Arbeitsproduktivität). Denkbar ist aber auch, dass diese Kostenunterschiede aus unterschiedlichen institutionellen Arrangements resultieren (z.B. unterschiedliche Sozialstandards).</w:t>
      </w:r>
    </w:p>
    <w:p w:rsidR="00A900E5" w:rsidRDefault="00A900E5" w:rsidP="00A900E5">
      <w:pPr>
        <w:pStyle w:val="Listenabsatz"/>
        <w:rPr>
          <w:i/>
        </w:rPr>
      </w:pPr>
      <w:r>
        <w:rPr>
          <w:i/>
        </w:rPr>
        <w:lastRenderedPageBreak/>
        <w:t xml:space="preserve">Im Regelfall werden durch </w:t>
      </w:r>
      <w:r w:rsidR="00683251">
        <w:rPr>
          <w:i/>
        </w:rPr>
        <w:t xml:space="preserve">Handelsliberalisierung </w:t>
      </w:r>
      <w:r>
        <w:rPr>
          <w:i/>
        </w:rPr>
        <w:t xml:space="preserve">globale Wohlfahrtssteigerungen erzielt, weil die insgesamt zur Verfügung stehenden Gütermengen maximiert werden. Allerdings führt der durch Freihandel in Gang gesetzte Strukturwandel dazu, dass in beiden Ländern die Produktion desjenigen Gutes eingeschränkt werden muss, bei dem es relative Kostennachteile aufweist. Wenn der Strukturwandel nicht friktionsfrei abläuft (also z.B. die Beschäftigten nicht ohne weiteres zwischen den Sektoren wechseln können), kommt es zu Arbeitslosigkeit, die die Wohlfahrt mindern kann. </w:t>
      </w:r>
    </w:p>
    <w:p w:rsidR="00A900E5" w:rsidRDefault="00A900E5" w:rsidP="00A900E5">
      <w:pPr>
        <w:pStyle w:val="Listenabsatz"/>
        <w:rPr>
          <w:i/>
        </w:rPr>
      </w:pPr>
      <w:r>
        <w:rPr>
          <w:i/>
        </w:rPr>
        <w:t xml:space="preserve">Zudem ist es nicht gewährleistet, dass die im Außenhandel realisierten Güterpreise die tatsächlichen Kostenrelationen widerspiegeln; so könnte ein Land versuchen, durch Subventionen oder durch eine Manipulation des Wechselkurses künstliche (wenn auch nur temporäre) Vorteile zu erzielen, um damit die Konkurrenz langfristig aus dem Markt zu drängen. Dieser Vorwurf wird von Seiten der USA beispielsweise gegenüber China erhoben. In diesem Fall wären Anti-Dumping-Maßnahmen gerechtfertigt. </w:t>
      </w:r>
    </w:p>
    <w:p w:rsidR="00FE715C" w:rsidRPr="00FD0F00" w:rsidRDefault="00FE715C" w:rsidP="00FE715C">
      <w:pPr>
        <w:pStyle w:val="Listenabsatz"/>
        <w:numPr>
          <w:ilvl w:val="0"/>
          <w:numId w:val="1"/>
        </w:numPr>
      </w:pPr>
      <w:r w:rsidRPr="00FD0F00">
        <w:t xml:space="preserve">Zur Verbesserung der Arbeitsmarktchancen von Flüchtlingsmigranten nach Deutschland wird derzeit eine Aussetzung des Mindestlohns für diesen Personenkreis diskutiert. Wie ist dieser Vorschlag </w:t>
      </w:r>
      <w:r w:rsidR="00FD0F00">
        <w:t xml:space="preserve">aus ökonomischer Sicht </w:t>
      </w:r>
      <w:r w:rsidRPr="00FD0F00">
        <w:t>zu bewerten?</w:t>
      </w:r>
      <w:r w:rsidR="00FD0F00">
        <w:t xml:space="preserve"> (6 Punkte)</w:t>
      </w:r>
    </w:p>
    <w:p w:rsidR="00FE715C" w:rsidRDefault="00FE715C" w:rsidP="00FE715C">
      <w:pPr>
        <w:pStyle w:val="Listenabsatz"/>
        <w:rPr>
          <w:i/>
        </w:rPr>
      </w:pPr>
      <w:r>
        <w:rPr>
          <w:i/>
        </w:rPr>
        <w:t>Für eine Aussetzung des Mindes</w:t>
      </w:r>
      <w:r w:rsidR="00FD0F00">
        <w:rPr>
          <w:i/>
        </w:rPr>
        <w:t>t</w:t>
      </w:r>
      <w:r>
        <w:rPr>
          <w:i/>
        </w:rPr>
        <w:t xml:space="preserve">lohns spricht es, dass ein großer Teil der geflüchteten Migranten nur unzureichende Qualifikationen aufweist und deswegen zum geltenden Mindestlohn nur schwer eine Beschäftigungsmöglichkeit findet. Dagegen spricht allerdings, dass es in diesem Fall möglicherweise zu einer Verdrängung deutscher Arbeitnehmer kommt; insoweit würde die Funktion des Mindestlohns, eine angemessene </w:t>
      </w:r>
      <w:r w:rsidR="00FD0F00">
        <w:rPr>
          <w:i/>
        </w:rPr>
        <w:t>Lebensstandardsicherung auch für Personen mit geringen Arbeitsmarktchancen zu erreichen, außer Kraft gesetzt. Auch Lohnsubventionen für Flüchtlinge würden dieses Risiko beinhalten.</w:t>
      </w:r>
    </w:p>
    <w:p w:rsidR="00FD0F00" w:rsidRDefault="00FD0F00" w:rsidP="00FD0F00">
      <w:pPr>
        <w:pStyle w:val="Listenabsatz"/>
        <w:rPr>
          <w:i/>
        </w:rPr>
      </w:pPr>
      <w:r>
        <w:rPr>
          <w:i/>
        </w:rPr>
        <w:t xml:space="preserve">Die bessere Lösung wäre es allemal, zunächst eine Weiterqualifizierung von Migranten vorzunehmen, so dass diese auch zum geltenden Mindestlohn beschäftigt werden können. </w:t>
      </w:r>
      <w:r w:rsidRPr="00FD0F00">
        <w:rPr>
          <w:i/>
        </w:rPr>
        <w:t xml:space="preserve">Alternativ wäre die Schaffung subventionierter (zusätzlicher) Arbeitsverhältnisse analog zu früheren Arbeitsbeschaffungsmaßnahmen in Erwägung zu ziehen. </w:t>
      </w:r>
    </w:p>
    <w:p w:rsidR="003825CD" w:rsidRDefault="00B7130D" w:rsidP="003825CD">
      <w:pPr>
        <w:pStyle w:val="Listenabsatz"/>
        <w:numPr>
          <w:ilvl w:val="0"/>
          <w:numId w:val="1"/>
        </w:numPr>
      </w:pPr>
      <w:r>
        <w:t>V</w:t>
      </w:r>
      <w:r w:rsidR="003825CD" w:rsidRPr="003825CD">
        <w:t xml:space="preserve">on Seiten der Gewerkschaften </w:t>
      </w:r>
      <w:r>
        <w:t xml:space="preserve">werden im Vorfeld von Tarifverhandlungen oftmals hohe Lohnsteigerungsraten gefordert, um auf diese Weise einen Beitrag zur </w:t>
      </w:r>
      <w:r w:rsidR="003825CD" w:rsidRPr="003825CD">
        <w:t xml:space="preserve">Stärkung der Binnennachfrage </w:t>
      </w:r>
      <w:r>
        <w:t>leisten</w:t>
      </w:r>
      <w:r w:rsidR="003825CD" w:rsidRPr="003825CD">
        <w:t xml:space="preserve">. Wie beurteilen Sie diese Forderung? </w:t>
      </w:r>
      <w:r>
        <w:t>(6 Punkte)</w:t>
      </w:r>
    </w:p>
    <w:p w:rsidR="003825CD" w:rsidRPr="00B7130D" w:rsidRDefault="003825CD" w:rsidP="003825CD">
      <w:pPr>
        <w:pStyle w:val="Listenabsatz"/>
        <w:rPr>
          <w:i/>
        </w:rPr>
      </w:pPr>
      <w:r w:rsidRPr="00B7130D">
        <w:rPr>
          <w:i/>
        </w:rPr>
        <w:t xml:space="preserve">Die Löhne sind einerseits Bestimmungsgründe der Einkommen der Beschäftigten und damit Bestandteil der kaufkräftigen Nachfrage. </w:t>
      </w:r>
      <w:r w:rsidR="00B7130D" w:rsidRPr="00B7130D">
        <w:rPr>
          <w:i/>
        </w:rPr>
        <w:t>Bei isolierter Betrachtung führen h</w:t>
      </w:r>
      <w:r w:rsidRPr="00B7130D">
        <w:rPr>
          <w:i/>
        </w:rPr>
        <w:t xml:space="preserve">öhere Löhne insoweit </w:t>
      </w:r>
      <w:r w:rsidR="00B7130D" w:rsidRPr="00B7130D">
        <w:rPr>
          <w:i/>
        </w:rPr>
        <w:t xml:space="preserve">tatsächlich </w:t>
      </w:r>
      <w:r w:rsidRPr="00B7130D">
        <w:rPr>
          <w:i/>
        </w:rPr>
        <w:t>zu vermehrter Konsumnachfrage</w:t>
      </w:r>
      <w:r w:rsidR="00B7130D" w:rsidRPr="00B7130D">
        <w:rPr>
          <w:i/>
        </w:rPr>
        <w:t>.</w:t>
      </w:r>
      <w:r w:rsidR="00B7130D">
        <w:rPr>
          <w:i/>
        </w:rPr>
        <w:t xml:space="preserve"> Gerade in konjunkturellen Schwächephasen könnte ein stärkerer Lohnanstieg daher zur Stabilisierung der Nachfrage beitragen.</w:t>
      </w:r>
      <w:r w:rsidR="00B7130D" w:rsidRPr="00B7130D">
        <w:rPr>
          <w:i/>
        </w:rPr>
        <w:t xml:space="preserve"> </w:t>
      </w:r>
    </w:p>
    <w:p w:rsidR="00B7130D" w:rsidRPr="00B7130D" w:rsidRDefault="00B7130D" w:rsidP="003825CD">
      <w:pPr>
        <w:pStyle w:val="Listenabsatz"/>
        <w:rPr>
          <w:i/>
        </w:rPr>
      </w:pPr>
      <w:r w:rsidRPr="00B7130D">
        <w:rPr>
          <w:i/>
        </w:rPr>
        <w:t xml:space="preserve">Andererseits sind die Löhne aber auch Kostenfaktor für die Unternehmen. Soweit ein Lohnanstieg nicht durch entsprechende Produktivitätssteigerungen gerechtfertigt ist, führen höhere Löhne insoweit zu verringerter Beschäftigung. Da sich die gesamtwirtschaftlichen Arbeitseinkommen aus dem Produkt von Beschäftigung und Lohnsatz ergeben, wirkt ein Beschäftigungsrückgang dem Anstieg der Einkommen zuwider. </w:t>
      </w:r>
      <w:r>
        <w:rPr>
          <w:i/>
        </w:rPr>
        <w:t>Gerade in konjunkturellen Schwächephasen ist das Risiko besonders hoch, dass hohe Lohnsteigerungen mit Beschäftigungseinbußen einhergehen, weil die Unternehmen ohnehin nur bei geringer Kapazitätsauslastung operieren.</w:t>
      </w:r>
    </w:p>
    <w:p w:rsidR="00B7130D" w:rsidRPr="00B7130D" w:rsidRDefault="00B7130D" w:rsidP="003825CD">
      <w:pPr>
        <w:pStyle w:val="Listenabsatz"/>
        <w:rPr>
          <w:i/>
        </w:rPr>
      </w:pPr>
      <w:r w:rsidRPr="00B7130D">
        <w:rPr>
          <w:i/>
        </w:rPr>
        <w:t>Aus diesem Grund sollte der Lohnanstieg so austariert sei</w:t>
      </w:r>
      <w:r>
        <w:rPr>
          <w:i/>
        </w:rPr>
        <w:t>n, dass Lohnerhöhungen nicht zu</w:t>
      </w:r>
      <w:r w:rsidRPr="00B7130D">
        <w:rPr>
          <w:i/>
        </w:rPr>
        <w:t xml:space="preserve">lasten der Beschäftigung gehen. In der Praxis wird dies dadurch erreicht, dass die Löhne </w:t>
      </w:r>
      <w:r>
        <w:rPr>
          <w:i/>
        </w:rPr>
        <w:t xml:space="preserve">gemeinhin </w:t>
      </w:r>
      <w:r w:rsidRPr="00B7130D">
        <w:rPr>
          <w:i/>
        </w:rPr>
        <w:t xml:space="preserve">lediglich im Ausmaß des (nominalen) Produktivitätsanstiegs erhöht werden. </w:t>
      </w:r>
    </w:p>
    <w:sectPr w:rsidR="00B7130D" w:rsidRPr="00B713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51895"/>
    <w:multiLevelType w:val="hybridMultilevel"/>
    <w:tmpl w:val="9E6E614A"/>
    <w:lvl w:ilvl="0" w:tplc="BFFA5A24">
      <w:start w:val="1"/>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40D30E1E"/>
    <w:multiLevelType w:val="hybridMultilevel"/>
    <w:tmpl w:val="585649FA"/>
    <w:lvl w:ilvl="0" w:tplc="2A0A2A1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596C4861"/>
    <w:multiLevelType w:val="hybridMultilevel"/>
    <w:tmpl w:val="399203DC"/>
    <w:lvl w:ilvl="0" w:tplc="6C0C7CB4">
      <w:start w:val="1"/>
      <w:numFmt w:val="decimal"/>
      <w:lvlText w:val="%1."/>
      <w:lvlJc w:val="left"/>
      <w:pPr>
        <w:ind w:left="720" w:hanging="360"/>
      </w:pPr>
      <w:rPr>
        <w:rFonts w:asciiTheme="minorHAnsi" w:eastAsiaTheme="minorHAnsi" w:hAnsiTheme="minorHAnsi" w:cstheme="minorBidi"/>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B8F"/>
    <w:rsid w:val="00087D90"/>
    <w:rsid w:val="001D7C50"/>
    <w:rsid w:val="00241209"/>
    <w:rsid w:val="00305B8F"/>
    <w:rsid w:val="00311793"/>
    <w:rsid w:val="00323278"/>
    <w:rsid w:val="003825CD"/>
    <w:rsid w:val="00543C7E"/>
    <w:rsid w:val="00641068"/>
    <w:rsid w:val="0067486F"/>
    <w:rsid w:val="00683251"/>
    <w:rsid w:val="006B17EA"/>
    <w:rsid w:val="0071298D"/>
    <w:rsid w:val="00A900E5"/>
    <w:rsid w:val="00AC0031"/>
    <w:rsid w:val="00B7130D"/>
    <w:rsid w:val="00BB35E4"/>
    <w:rsid w:val="00C61E11"/>
    <w:rsid w:val="00D55F17"/>
    <w:rsid w:val="00D57304"/>
    <w:rsid w:val="00D62759"/>
    <w:rsid w:val="00E14884"/>
    <w:rsid w:val="00EA55F7"/>
    <w:rsid w:val="00F013C3"/>
    <w:rsid w:val="00FA2BAC"/>
    <w:rsid w:val="00FA6B62"/>
    <w:rsid w:val="00FD0F00"/>
    <w:rsid w:val="00FE71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AD2AF3-77D9-4D43-9655-D0128400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05B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Mappe3"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Mappe3"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Preisbildung im Monopol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v>Nachfrage</c:v>
          </c:tx>
          <c:spPr>
            <a:ln w="34925" cap="rnd">
              <a:solidFill>
                <a:schemeClr val="tx1"/>
              </a:solidFill>
              <a:round/>
            </a:ln>
            <a:effectLst/>
          </c:spPr>
          <c:marker>
            <c:symbol val="none"/>
          </c:marker>
          <c:xVal>
            <c:numRef>
              <c:f>Tabelle1!$B$2:$B$30</c:f>
              <c:numCache>
                <c:formatCode>General</c:formatCode>
                <c:ptCount val="29"/>
                <c:pt idx="0">
                  <c:v>28</c:v>
                </c:pt>
                <c:pt idx="1">
                  <c:v>27</c:v>
                </c:pt>
                <c:pt idx="2">
                  <c:v>26</c:v>
                </c:pt>
                <c:pt idx="3">
                  <c:v>25</c:v>
                </c:pt>
                <c:pt idx="4">
                  <c:v>24</c:v>
                </c:pt>
                <c:pt idx="5">
                  <c:v>23</c:v>
                </c:pt>
                <c:pt idx="6">
                  <c:v>22</c:v>
                </c:pt>
                <c:pt idx="7">
                  <c:v>21</c:v>
                </c:pt>
                <c:pt idx="8">
                  <c:v>20</c:v>
                </c:pt>
                <c:pt idx="9">
                  <c:v>19</c:v>
                </c:pt>
                <c:pt idx="10">
                  <c:v>18</c:v>
                </c:pt>
                <c:pt idx="11">
                  <c:v>17</c:v>
                </c:pt>
                <c:pt idx="12">
                  <c:v>16</c:v>
                </c:pt>
                <c:pt idx="13">
                  <c:v>15</c:v>
                </c:pt>
                <c:pt idx="14">
                  <c:v>14</c:v>
                </c:pt>
                <c:pt idx="15">
                  <c:v>13</c:v>
                </c:pt>
                <c:pt idx="16">
                  <c:v>12</c:v>
                </c:pt>
                <c:pt idx="17">
                  <c:v>11</c:v>
                </c:pt>
                <c:pt idx="18">
                  <c:v>10</c:v>
                </c:pt>
                <c:pt idx="19">
                  <c:v>9</c:v>
                </c:pt>
                <c:pt idx="20">
                  <c:v>8</c:v>
                </c:pt>
                <c:pt idx="21">
                  <c:v>7</c:v>
                </c:pt>
                <c:pt idx="22">
                  <c:v>6</c:v>
                </c:pt>
                <c:pt idx="23">
                  <c:v>5</c:v>
                </c:pt>
                <c:pt idx="24">
                  <c:v>4</c:v>
                </c:pt>
                <c:pt idx="25">
                  <c:v>3</c:v>
                </c:pt>
                <c:pt idx="26">
                  <c:v>2</c:v>
                </c:pt>
                <c:pt idx="27">
                  <c:v>1</c:v>
                </c:pt>
                <c:pt idx="28">
                  <c:v>0</c:v>
                </c:pt>
              </c:numCache>
            </c:numRef>
          </c:xVal>
          <c:yVal>
            <c:numRef>
              <c:f>Tabelle1!$A$2:$A$30</c:f>
              <c:numCache>
                <c:formatCode>General</c:formatCode>
                <c:ptCount val="29"/>
                <c:pt idx="0">
                  <c:v>1</c:v>
                </c:pt>
                <c:pt idx="1">
                  <c:v>1.5</c:v>
                </c:pt>
                <c:pt idx="2">
                  <c:v>2</c:v>
                </c:pt>
                <c:pt idx="3">
                  <c:v>2.5</c:v>
                </c:pt>
                <c:pt idx="4">
                  <c:v>3</c:v>
                </c:pt>
                <c:pt idx="5">
                  <c:v>3.5</c:v>
                </c:pt>
                <c:pt idx="6">
                  <c:v>4</c:v>
                </c:pt>
                <c:pt idx="7">
                  <c:v>4.5</c:v>
                </c:pt>
                <c:pt idx="8">
                  <c:v>5</c:v>
                </c:pt>
                <c:pt idx="9">
                  <c:v>5.5</c:v>
                </c:pt>
                <c:pt idx="10">
                  <c:v>6</c:v>
                </c:pt>
                <c:pt idx="11">
                  <c:v>6.5</c:v>
                </c:pt>
                <c:pt idx="12">
                  <c:v>7</c:v>
                </c:pt>
                <c:pt idx="13">
                  <c:v>7.5</c:v>
                </c:pt>
                <c:pt idx="14">
                  <c:v>8</c:v>
                </c:pt>
                <c:pt idx="15">
                  <c:v>8.5</c:v>
                </c:pt>
                <c:pt idx="16">
                  <c:v>9</c:v>
                </c:pt>
                <c:pt idx="17">
                  <c:v>9.5</c:v>
                </c:pt>
                <c:pt idx="18">
                  <c:v>10</c:v>
                </c:pt>
                <c:pt idx="19">
                  <c:v>10.5</c:v>
                </c:pt>
                <c:pt idx="20">
                  <c:v>11</c:v>
                </c:pt>
                <c:pt idx="21">
                  <c:v>11.5</c:v>
                </c:pt>
                <c:pt idx="22">
                  <c:v>12</c:v>
                </c:pt>
                <c:pt idx="23">
                  <c:v>12.5</c:v>
                </c:pt>
                <c:pt idx="24">
                  <c:v>13</c:v>
                </c:pt>
                <c:pt idx="25">
                  <c:v>13.5</c:v>
                </c:pt>
                <c:pt idx="26">
                  <c:v>14</c:v>
                </c:pt>
                <c:pt idx="27">
                  <c:v>14.5</c:v>
                </c:pt>
                <c:pt idx="28">
                  <c:v>15</c:v>
                </c:pt>
              </c:numCache>
            </c:numRef>
          </c:yVal>
          <c:smooth val="1"/>
        </c:ser>
        <c:dLbls>
          <c:showLegendKey val="0"/>
          <c:showVal val="0"/>
          <c:showCatName val="0"/>
          <c:showSerName val="0"/>
          <c:showPercent val="0"/>
          <c:showBubbleSize val="0"/>
        </c:dLbls>
        <c:axId val="337319832"/>
        <c:axId val="401069992"/>
      </c:scatterChart>
      <c:scatterChart>
        <c:scatterStyle val="smoothMarker"/>
        <c:varyColors val="0"/>
        <c:ser>
          <c:idx val="1"/>
          <c:order val="1"/>
          <c:tx>
            <c:v>Erlös</c:v>
          </c:tx>
          <c:spPr>
            <a:ln w="15875" cap="rnd">
              <a:solidFill>
                <a:schemeClr val="tx1"/>
              </a:solidFill>
              <a:prstDash val="sysDot"/>
              <a:round/>
            </a:ln>
            <a:effectLst/>
          </c:spPr>
          <c:marker>
            <c:symbol val="none"/>
          </c:marker>
          <c:xVal>
            <c:numRef>
              <c:f>Tabelle1!$B$2:$B$30</c:f>
              <c:numCache>
                <c:formatCode>General</c:formatCode>
                <c:ptCount val="29"/>
                <c:pt idx="0">
                  <c:v>28</c:v>
                </c:pt>
                <c:pt idx="1">
                  <c:v>27</c:v>
                </c:pt>
                <c:pt idx="2">
                  <c:v>26</c:v>
                </c:pt>
                <c:pt idx="3">
                  <c:v>25</c:v>
                </c:pt>
                <c:pt idx="4">
                  <c:v>24</c:v>
                </c:pt>
                <c:pt idx="5">
                  <c:v>23</c:v>
                </c:pt>
                <c:pt idx="6">
                  <c:v>22</c:v>
                </c:pt>
                <c:pt idx="7">
                  <c:v>21</c:v>
                </c:pt>
                <c:pt idx="8">
                  <c:v>20</c:v>
                </c:pt>
                <c:pt idx="9">
                  <c:v>19</c:v>
                </c:pt>
                <c:pt idx="10">
                  <c:v>18</c:v>
                </c:pt>
                <c:pt idx="11">
                  <c:v>17</c:v>
                </c:pt>
                <c:pt idx="12">
                  <c:v>16</c:v>
                </c:pt>
                <c:pt idx="13">
                  <c:v>15</c:v>
                </c:pt>
                <c:pt idx="14">
                  <c:v>14</c:v>
                </c:pt>
                <c:pt idx="15">
                  <c:v>13</c:v>
                </c:pt>
                <c:pt idx="16">
                  <c:v>12</c:v>
                </c:pt>
                <c:pt idx="17">
                  <c:v>11</c:v>
                </c:pt>
                <c:pt idx="18">
                  <c:v>10</c:v>
                </c:pt>
                <c:pt idx="19">
                  <c:v>9</c:v>
                </c:pt>
                <c:pt idx="20">
                  <c:v>8</c:v>
                </c:pt>
                <c:pt idx="21">
                  <c:v>7</c:v>
                </c:pt>
                <c:pt idx="22">
                  <c:v>6</c:v>
                </c:pt>
                <c:pt idx="23">
                  <c:v>5</c:v>
                </c:pt>
                <c:pt idx="24">
                  <c:v>4</c:v>
                </c:pt>
                <c:pt idx="25">
                  <c:v>3</c:v>
                </c:pt>
                <c:pt idx="26">
                  <c:v>2</c:v>
                </c:pt>
                <c:pt idx="27">
                  <c:v>1</c:v>
                </c:pt>
                <c:pt idx="28">
                  <c:v>0</c:v>
                </c:pt>
              </c:numCache>
            </c:numRef>
          </c:xVal>
          <c:yVal>
            <c:numRef>
              <c:f>Tabelle1!$C$2:$C$30</c:f>
              <c:numCache>
                <c:formatCode>General</c:formatCode>
                <c:ptCount val="29"/>
                <c:pt idx="0">
                  <c:v>28</c:v>
                </c:pt>
                <c:pt idx="1">
                  <c:v>40.5</c:v>
                </c:pt>
                <c:pt idx="2">
                  <c:v>52</c:v>
                </c:pt>
                <c:pt idx="3">
                  <c:v>62.5</c:v>
                </c:pt>
                <c:pt idx="4">
                  <c:v>72</c:v>
                </c:pt>
                <c:pt idx="5">
                  <c:v>80.5</c:v>
                </c:pt>
                <c:pt idx="6">
                  <c:v>88</c:v>
                </c:pt>
                <c:pt idx="7">
                  <c:v>94.5</c:v>
                </c:pt>
                <c:pt idx="8">
                  <c:v>100</c:v>
                </c:pt>
                <c:pt idx="9">
                  <c:v>104.5</c:v>
                </c:pt>
                <c:pt idx="10">
                  <c:v>108</c:v>
                </c:pt>
                <c:pt idx="11">
                  <c:v>110.5</c:v>
                </c:pt>
                <c:pt idx="12">
                  <c:v>112</c:v>
                </c:pt>
                <c:pt idx="13">
                  <c:v>112.5</c:v>
                </c:pt>
                <c:pt idx="14">
                  <c:v>112</c:v>
                </c:pt>
                <c:pt idx="15">
                  <c:v>110.5</c:v>
                </c:pt>
                <c:pt idx="16">
                  <c:v>108</c:v>
                </c:pt>
                <c:pt idx="17">
                  <c:v>104.5</c:v>
                </c:pt>
                <c:pt idx="18">
                  <c:v>100</c:v>
                </c:pt>
                <c:pt idx="19">
                  <c:v>94.5</c:v>
                </c:pt>
                <c:pt idx="20">
                  <c:v>88</c:v>
                </c:pt>
                <c:pt idx="21">
                  <c:v>80.5</c:v>
                </c:pt>
                <c:pt idx="22">
                  <c:v>72</c:v>
                </c:pt>
                <c:pt idx="23">
                  <c:v>62.5</c:v>
                </c:pt>
                <c:pt idx="24">
                  <c:v>52</c:v>
                </c:pt>
                <c:pt idx="25">
                  <c:v>40.5</c:v>
                </c:pt>
                <c:pt idx="26">
                  <c:v>28</c:v>
                </c:pt>
                <c:pt idx="27">
                  <c:v>14.5</c:v>
                </c:pt>
                <c:pt idx="28">
                  <c:v>0</c:v>
                </c:pt>
              </c:numCache>
            </c:numRef>
          </c:yVal>
          <c:smooth val="1"/>
        </c:ser>
        <c:ser>
          <c:idx val="2"/>
          <c:order val="2"/>
          <c:tx>
            <c:v>Kosten</c:v>
          </c:tx>
          <c:spPr>
            <a:ln w="19050" cap="rnd">
              <a:solidFill>
                <a:schemeClr val="tx1"/>
              </a:solidFill>
              <a:prstDash val="dash"/>
              <a:round/>
            </a:ln>
            <a:effectLst/>
          </c:spPr>
          <c:marker>
            <c:symbol val="none"/>
          </c:marker>
          <c:xVal>
            <c:numRef>
              <c:f>Tabelle1!$B$2:$B$30</c:f>
              <c:numCache>
                <c:formatCode>General</c:formatCode>
                <c:ptCount val="29"/>
                <c:pt idx="0">
                  <c:v>28</c:v>
                </c:pt>
                <c:pt idx="1">
                  <c:v>27</c:v>
                </c:pt>
                <c:pt idx="2">
                  <c:v>26</c:v>
                </c:pt>
                <c:pt idx="3">
                  <c:v>25</c:v>
                </c:pt>
                <c:pt idx="4">
                  <c:v>24</c:v>
                </c:pt>
                <c:pt idx="5">
                  <c:v>23</c:v>
                </c:pt>
                <c:pt idx="6">
                  <c:v>22</c:v>
                </c:pt>
                <c:pt idx="7">
                  <c:v>21</c:v>
                </c:pt>
                <c:pt idx="8">
                  <c:v>20</c:v>
                </c:pt>
                <c:pt idx="9">
                  <c:v>19</c:v>
                </c:pt>
                <c:pt idx="10">
                  <c:v>18</c:v>
                </c:pt>
                <c:pt idx="11">
                  <c:v>17</c:v>
                </c:pt>
                <c:pt idx="12">
                  <c:v>16</c:v>
                </c:pt>
                <c:pt idx="13">
                  <c:v>15</c:v>
                </c:pt>
                <c:pt idx="14">
                  <c:v>14</c:v>
                </c:pt>
                <c:pt idx="15">
                  <c:v>13</c:v>
                </c:pt>
                <c:pt idx="16">
                  <c:v>12</c:v>
                </c:pt>
                <c:pt idx="17">
                  <c:v>11</c:v>
                </c:pt>
                <c:pt idx="18">
                  <c:v>10</c:v>
                </c:pt>
                <c:pt idx="19">
                  <c:v>9</c:v>
                </c:pt>
                <c:pt idx="20">
                  <c:v>8</c:v>
                </c:pt>
                <c:pt idx="21">
                  <c:v>7</c:v>
                </c:pt>
                <c:pt idx="22">
                  <c:v>6</c:v>
                </c:pt>
                <c:pt idx="23">
                  <c:v>5</c:v>
                </c:pt>
                <c:pt idx="24">
                  <c:v>4</c:v>
                </c:pt>
                <c:pt idx="25">
                  <c:v>3</c:v>
                </c:pt>
                <c:pt idx="26">
                  <c:v>2</c:v>
                </c:pt>
                <c:pt idx="27">
                  <c:v>1</c:v>
                </c:pt>
                <c:pt idx="28">
                  <c:v>0</c:v>
                </c:pt>
              </c:numCache>
            </c:numRef>
          </c:xVal>
          <c:yVal>
            <c:numRef>
              <c:f>Tabelle1!$D$2:$D$30</c:f>
              <c:numCache>
                <c:formatCode>General</c:formatCode>
                <c:ptCount val="29"/>
                <c:pt idx="0">
                  <c:v>84</c:v>
                </c:pt>
                <c:pt idx="1">
                  <c:v>81</c:v>
                </c:pt>
                <c:pt idx="2">
                  <c:v>78</c:v>
                </c:pt>
                <c:pt idx="3">
                  <c:v>75</c:v>
                </c:pt>
                <c:pt idx="4">
                  <c:v>72</c:v>
                </c:pt>
                <c:pt idx="5">
                  <c:v>69</c:v>
                </c:pt>
                <c:pt idx="6">
                  <c:v>66</c:v>
                </c:pt>
                <c:pt idx="7">
                  <c:v>63</c:v>
                </c:pt>
                <c:pt idx="8">
                  <c:v>60</c:v>
                </c:pt>
                <c:pt idx="9">
                  <c:v>57</c:v>
                </c:pt>
                <c:pt idx="10">
                  <c:v>54</c:v>
                </c:pt>
                <c:pt idx="11">
                  <c:v>51</c:v>
                </c:pt>
                <c:pt idx="12">
                  <c:v>48</c:v>
                </c:pt>
                <c:pt idx="13">
                  <c:v>45</c:v>
                </c:pt>
                <c:pt idx="14">
                  <c:v>42</c:v>
                </c:pt>
                <c:pt idx="15">
                  <c:v>39</c:v>
                </c:pt>
                <c:pt idx="16">
                  <c:v>36</c:v>
                </c:pt>
                <c:pt idx="17">
                  <c:v>33</c:v>
                </c:pt>
                <c:pt idx="18">
                  <c:v>30</c:v>
                </c:pt>
                <c:pt idx="19">
                  <c:v>27</c:v>
                </c:pt>
                <c:pt idx="20">
                  <c:v>24</c:v>
                </c:pt>
                <c:pt idx="21">
                  <c:v>21</c:v>
                </c:pt>
                <c:pt idx="22">
                  <c:v>18</c:v>
                </c:pt>
                <c:pt idx="23">
                  <c:v>15</c:v>
                </c:pt>
                <c:pt idx="24">
                  <c:v>12</c:v>
                </c:pt>
                <c:pt idx="25">
                  <c:v>9</c:v>
                </c:pt>
                <c:pt idx="26">
                  <c:v>6</c:v>
                </c:pt>
                <c:pt idx="27">
                  <c:v>3</c:v>
                </c:pt>
                <c:pt idx="28">
                  <c:v>0</c:v>
                </c:pt>
              </c:numCache>
            </c:numRef>
          </c:yVal>
          <c:smooth val="1"/>
        </c:ser>
        <c:dLbls>
          <c:showLegendKey val="0"/>
          <c:showVal val="0"/>
          <c:showCatName val="0"/>
          <c:showSerName val="0"/>
          <c:showPercent val="0"/>
          <c:showBubbleSize val="0"/>
        </c:dLbls>
        <c:axId val="401104080"/>
        <c:axId val="401103688"/>
      </c:scatterChart>
      <c:valAx>
        <c:axId val="337319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Menge x</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01069992"/>
        <c:crosses val="autoZero"/>
        <c:crossBetween val="midCat"/>
      </c:valAx>
      <c:valAx>
        <c:axId val="401069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Preis 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337319832"/>
        <c:crosses val="autoZero"/>
        <c:crossBetween val="midCat"/>
      </c:valAx>
      <c:valAx>
        <c:axId val="4011036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Kosten K, Erlös 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01104080"/>
        <c:crosses val="max"/>
        <c:crossBetween val="midCat"/>
      </c:valAx>
      <c:valAx>
        <c:axId val="401104080"/>
        <c:scaling>
          <c:orientation val="minMax"/>
        </c:scaling>
        <c:delete val="1"/>
        <c:axPos val="b"/>
        <c:numFmt formatCode="General" sourceLinked="1"/>
        <c:majorTickMark val="out"/>
        <c:minorTickMark val="none"/>
        <c:tickLblPos val="nextTo"/>
        <c:crossAx val="4011036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Preisbildung im Monopol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v>Nachfrage</c:v>
          </c:tx>
          <c:spPr>
            <a:ln w="34925" cap="rnd">
              <a:solidFill>
                <a:schemeClr val="tx1"/>
              </a:solidFill>
              <a:round/>
            </a:ln>
            <a:effectLst/>
          </c:spPr>
          <c:marker>
            <c:symbol val="none"/>
          </c:marker>
          <c:xVal>
            <c:numRef>
              <c:f>Tabelle1!$B$2:$B$30</c:f>
              <c:numCache>
                <c:formatCode>General</c:formatCode>
                <c:ptCount val="29"/>
                <c:pt idx="0">
                  <c:v>28</c:v>
                </c:pt>
                <c:pt idx="1">
                  <c:v>27</c:v>
                </c:pt>
                <c:pt idx="2">
                  <c:v>26</c:v>
                </c:pt>
                <c:pt idx="3">
                  <c:v>25</c:v>
                </c:pt>
                <c:pt idx="4">
                  <c:v>24</c:v>
                </c:pt>
                <c:pt idx="5">
                  <c:v>23</c:v>
                </c:pt>
                <c:pt idx="6">
                  <c:v>22</c:v>
                </c:pt>
                <c:pt idx="7">
                  <c:v>21</c:v>
                </c:pt>
                <c:pt idx="8">
                  <c:v>20</c:v>
                </c:pt>
                <c:pt idx="9">
                  <c:v>19</c:v>
                </c:pt>
                <c:pt idx="10">
                  <c:v>18</c:v>
                </c:pt>
                <c:pt idx="11">
                  <c:v>17</c:v>
                </c:pt>
                <c:pt idx="12">
                  <c:v>16</c:v>
                </c:pt>
                <c:pt idx="13">
                  <c:v>15</c:v>
                </c:pt>
                <c:pt idx="14">
                  <c:v>14</c:v>
                </c:pt>
                <c:pt idx="15">
                  <c:v>13</c:v>
                </c:pt>
                <c:pt idx="16">
                  <c:v>12</c:v>
                </c:pt>
                <c:pt idx="17">
                  <c:v>11</c:v>
                </c:pt>
                <c:pt idx="18">
                  <c:v>10</c:v>
                </c:pt>
                <c:pt idx="19">
                  <c:v>9</c:v>
                </c:pt>
                <c:pt idx="20">
                  <c:v>8</c:v>
                </c:pt>
                <c:pt idx="21">
                  <c:v>7</c:v>
                </c:pt>
                <c:pt idx="22">
                  <c:v>6</c:v>
                </c:pt>
                <c:pt idx="23">
                  <c:v>5</c:v>
                </c:pt>
                <c:pt idx="24">
                  <c:v>4</c:v>
                </c:pt>
                <c:pt idx="25">
                  <c:v>3</c:v>
                </c:pt>
                <c:pt idx="26">
                  <c:v>2</c:v>
                </c:pt>
                <c:pt idx="27">
                  <c:v>1</c:v>
                </c:pt>
                <c:pt idx="28">
                  <c:v>0</c:v>
                </c:pt>
              </c:numCache>
            </c:numRef>
          </c:xVal>
          <c:yVal>
            <c:numRef>
              <c:f>Tabelle1!$A$2:$A$30</c:f>
              <c:numCache>
                <c:formatCode>General</c:formatCode>
                <c:ptCount val="29"/>
                <c:pt idx="0">
                  <c:v>1</c:v>
                </c:pt>
                <c:pt idx="1">
                  <c:v>1.5</c:v>
                </c:pt>
                <c:pt idx="2">
                  <c:v>2</c:v>
                </c:pt>
                <c:pt idx="3">
                  <c:v>2.5</c:v>
                </c:pt>
                <c:pt idx="4">
                  <c:v>3</c:v>
                </c:pt>
                <c:pt idx="5">
                  <c:v>3.5</c:v>
                </c:pt>
                <c:pt idx="6">
                  <c:v>4</c:v>
                </c:pt>
                <c:pt idx="7">
                  <c:v>4.5</c:v>
                </c:pt>
                <c:pt idx="8">
                  <c:v>5</c:v>
                </c:pt>
                <c:pt idx="9">
                  <c:v>5.5</c:v>
                </c:pt>
                <c:pt idx="10">
                  <c:v>6</c:v>
                </c:pt>
                <c:pt idx="11">
                  <c:v>6.5</c:v>
                </c:pt>
                <c:pt idx="12">
                  <c:v>7</c:v>
                </c:pt>
                <c:pt idx="13">
                  <c:v>7.5</c:v>
                </c:pt>
                <c:pt idx="14">
                  <c:v>8</c:v>
                </c:pt>
                <c:pt idx="15">
                  <c:v>8.5</c:v>
                </c:pt>
                <c:pt idx="16">
                  <c:v>9</c:v>
                </c:pt>
                <c:pt idx="17">
                  <c:v>9.5</c:v>
                </c:pt>
                <c:pt idx="18">
                  <c:v>10</c:v>
                </c:pt>
                <c:pt idx="19">
                  <c:v>10.5</c:v>
                </c:pt>
                <c:pt idx="20">
                  <c:v>11</c:v>
                </c:pt>
                <c:pt idx="21">
                  <c:v>11.5</c:v>
                </c:pt>
                <c:pt idx="22">
                  <c:v>12</c:v>
                </c:pt>
                <c:pt idx="23">
                  <c:v>12.5</c:v>
                </c:pt>
                <c:pt idx="24">
                  <c:v>13</c:v>
                </c:pt>
                <c:pt idx="25">
                  <c:v>13.5</c:v>
                </c:pt>
                <c:pt idx="26">
                  <c:v>14</c:v>
                </c:pt>
                <c:pt idx="27">
                  <c:v>14.5</c:v>
                </c:pt>
                <c:pt idx="28">
                  <c:v>15</c:v>
                </c:pt>
              </c:numCache>
            </c:numRef>
          </c:yVal>
          <c:smooth val="1"/>
        </c:ser>
        <c:ser>
          <c:idx val="3"/>
          <c:order val="3"/>
          <c:tx>
            <c:v>Grenzerlöse</c:v>
          </c:tx>
          <c:spPr>
            <a:ln w="19050" cap="rnd">
              <a:solidFill>
                <a:srgbClr val="FF0000"/>
              </a:solidFill>
              <a:round/>
            </a:ln>
            <a:effectLst/>
          </c:spPr>
          <c:marker>
            <c:symbol val="none"/>
          </c:marker>
          <c:xVal>
            <c:numRef>
              <c:f>Tabelle1!$B$2:$B$30</c:f>
              <c:numCache>
                <c:formatCode>General</c:formatCode>
                <c:ptCount val="29"/>
                <c:pt idx="0">
                  <c:v>28</c:v>
                </c:pt>
                <c:pt idx="1">
                  <c:v>27</c:v>
                </c:pt>
                <c:pt idx="2">
                  <c:v>26</c:v>
                </c:pt>
                <c:pt idx="3">
                  <c:v>25</c:v>
                </c:pt>
                <c:pt idx="4">
                  <c:v>24</c:v>
                </c:pt>
                <c:pt idx="5">
                  <c:v>23</c:v>
                </c:pt>
                <c:pt idx="6">
                  <c:v>22</c:v>
                </c:pt>
                <c:pt idx="7">
                  <c:v>21</c:v>
                </c:pt>
                <c:pt idx="8">
                  <c:v>20</c:v>
                </c:pt>
                <c:pt idx="9">
                  <c:v>19</c:v>
                </c:pt>
                <c:pt idx="10">
                  <c:v>18</c:v>
                </c:pt>
                <c:pt idx="11">
                  <c:v>17</c:v>
                </c:pt>
                <c:pt idx="12">
                  <c:v>16</c:v>
                </c:pt>
                <c:pt idx="13">
                  <c:v>15</c:v>
                </c:pt>
                <c:pt idx="14">
                  <c:v>14</c:v>
                </c:pt>
                <c:pt idx="15">
                  <c:v>13</c:v>
                </c:pt>
                <c:pt idx="16">
                  <c:v>12</c:v>
                </c:pt>
                <c:pt idx="17">
                  <c:v>11</c:v>
                </c:pt>
                <c:pt idx="18">
                  <c:v>10</c:v>
                </c:pt>
                <c:pt idx="19">
                  <c:v>9</c:v>
                </c:pt>
                <c:pt idx="20">
                  <c:v>8</c:v>
                </c:pt>
                <c:pt idx="21">
                  <c:v>7</c:v>
                </c:pt>
                <c:pt idx="22">
                  <c:v>6</c:v>
                </c:pt>
                <c:pt idx="23">
                  <c:v>5</c:v>
                </c:pt>
                <c:pt idx="24">
                  <c:v>4</c:v>
                </c:pt>
                <c:pt idx="25">
                  <c:v>3</c:v>
                </c:pt>
                <c:pt idx="26">
                  <c:v>2</c:v>
                </c:pt>
                <c:pt idx="27">
                  <c:v>1</c:v>
                </c:pt>
                <c:pt idx="28">
                  <c:v>0</c:v>
                </c:pt>
              </c:numCache>
            </c:numRef>
          </c:xVal>
          <c:yVal>
            <c:numRef>
              <c:f>Tabelle1!$F$2:$F$30</c:f>
              <c:numCache>
                <c:formatCode>General</c:formatCode>
                <c:ptCount val="29"/>
                <c:pt idx="0">
                  <c:v>-13</c:v>
                </c:pt>
                <c:pt idx="1">
                  <c:v>-12</c:v>
                </c:pt>
                <c:pt idx="2">
                  <c:v>-11</c:v>
                </c:pt>
                <c:pt idx="3">
                  <c:v>-10</c:v>
                </c:pt>
                <c:pt idx="4">
                  <c:v>-9</c:v>
                </c:pt>
                <c:pt idx="5">
                  <c:v>-8</c:v>
                </c:pt>
                <c:pt idx="6">
                  <c:v>-7</c:v>
                </c:pt>
                <c:pt idx="7">
                  <c:v>-6</c:v>
                </c:pt>
                <c:pt idx="8">
                  <c:v>-5</c:v>
                </c:pt>
                <c:pt idx="9">
                  <c:v>-4</c:v>
                </c:pt>
                <c:pt idx="10">
                  <c:v>-3</c:v>
                </c:pt>
                <c:pt idx="11">
                  <c:v>-2</c:v>
                </c:pt>
                <c:pt idx="12">
                  <c:v>-1</c:v>
                </c:pt>
                <c:pt idx="13">
                  <c:v>0</c:v>
                </c:pt>
                <c:pt idx="14">
                  <c:v>1</c:v>
                </c:pt>
                <c:pt idx="15">
                  <c:v>2</c:v>
                </c:pt>
                <c:pt idx="16">
                  <c:v>3</c:v>
                </c:pt>
                <c:pt idx="17">
                  <c:v>4</c:v>
                </c:pt>
                <c:pt idx="18">
                  <c:v>5</c:v>
                </c:pt>
                <c:pt idx="19">
                  <c:v>6</c:v>
                </c:pt>
                <c:pt idx="20">
                  <c:v>7</c:v>
                </c:pt>
                <c:pt idx="21">
                  <c:v>8</c:v>
                </c:pt>
                <c:pt idx="22">
                  <c:v>9</c:v>
                </c:pt>
                <c:pt idx="23">
                  <c:v>10</c:v>
                </c:pt>
                <c:pt idx="24">
                  <c:v>11</c:v>
                </c:pt>
                <c:pt idx="25">
                  <c:v>12</c:v>
                </c:pt>
                <c:pt idx="26">
                  <c:v>13</c:v>
                </c:pt>
                <c:pt idx="27">
                  <c:v>14</c:v>
                </c:pt>
                <c:pt idx="28">
                  <c:v>15</c:v>
                </c:pt>
              </c:numCache>
            </c:numRef>
          </c:yVal>
          <c:smooth val="1"/>
        </c:ser>
        <c:ser>
          <c:idx val="4"/>
          <c:order val="4"/>
          <c:tx>
            <c:v>Grenzkosten</c:v>
          </c:tx>
          <c:spPr>
            <a:ln w="19050" cap="rnd">
              <a:solidFill>
                <a:srgbClr val="FF0000"/>
              </a:solidFill>
              <a:prstDash val="dash"/>
              <a:round/>
            </a:ln>
            <a:effectLst/>
          </c:spPr>
          <c:marker>
            <c:symbol val="none"/>
          </c:marker>
          <c:xVal>
            <c:numRef>
              <c:f>Tabelle1!$B$2:$B$30</c:f>
              <c:numCache>
                <c:formatCode>General</c:formatCode>
                <c:ptCount val="29"/>
                <c:pt idx="0">
                  <c:v>28</c:v>
                </c:pt>
                <c:pt idx="1">
                  <c:v>27</c:v>
                </c:pt>
                <c:pt idx="2">
                  <c:v>26</c:v>
                </c:pt>
                <c:pt idx="3">
                  <c:v>25</c:v>
                </c:pt>
                <c:pt idx="4">
                  <c:v>24</c:v>
                </c:pt>
                <c:pt idx="5">
                  <c:v>23</c:v>
                </c:pt>
                <c:pt idx="6">
                  <c:v>22</c:v>
                </c:pt>
                <c:pt idx="7">
                  <c:v>21</c:v>
                </c:pt>
                <c:pt idx="8">
                  <c:v>20</c:v>
                </c:pt>
                <c:pt idx="9">
                  <c:v>19</c:v>
                </c:pt>
                <c:pt idx="10">
                  <c:v>18</c:v>
                </c:pt>
                <c:pt idx="11">
                  <c:v>17</c:v>
                </c:pt>
                <c:pt idx="12">
                  <c:v>16</c:v>
                </c:pt>
                <c:pt idx="13">
                  <c:v>15</c:v>
                </c:pt>
                <c:pt idx="14">
                  <c:v>14</c:v>
                </c:pt>
                <c:pt idx="15">
                  <c:v>13</c:v>
                </c:pt>
                <c:pt idx="16">
                  <c:v>12</c:v>
                </c:pt>
                <c:pt idx="17">
                  <c:v>11</c:v>
                </c:pt>
                <c:pt idx="18">
                  <c:v>10</c:v>
                </c:pt>
                <c:pt idx="19">
                  <c:v>9</c:v>
                </c:pt>
                <c:pt idx="20">
                  <c:v>8</c:v>
                </c:pt>
                <c:pt idx="21">
                  <c:v>7</c:v>
                </c:pt>
                <c:pt idx="22">
                  <c:v>6</c:v>
                </c:pt>
                <c:pt idx="23">
                  <c:v>5</c:v>
                </c:pt>
                <c:pt idx="24">
                  <c:v>4</c:v>
                </c:pt>
                <c:pt idx="25">
                  <c:v>3</c:v>
                </c:pt>
                <c:pt idx="26">
                  <c:v>2</c:v>
                </c:pt>
                <c:pt idx="27">
                  <c:v>1</c:v>
                </c:pt>
                <c:pt idx="28">
                  <c:v>0</c:v>
                </c:pt>
              </c:numCache>
            </c:numRef>
          </c:xVal>
          <c:yVal>
            <c:numRef>
              <c:f>Tabelle1!$E$2:$E$30</c:f>
              <c:numCache>
                <c:formatCode>General</c:formatCode>
                <c:ptCount val="29"/>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c:v>
                </c:pt>
                <c:pt idx="23">
                  <c:v>3</c:v>
                </c:pt>
                <c:pt idx="24">
                  <c:v>3</c:v>
                </c:pt>
                <c:pt idx="25">
                  <c:v>3</c:v>
                </c:pt>
                <c:pt idx="26">
                  <c:v>3</c:v>
                </c:pt>
                <c:pt idx="27">
                  <c:v>3</c:v>
                </c:pt>
                <c:pt idx="28">
                  <c:v>3</c:v>
                </c:pt>
              </c:numCache>
            </c:numRef>
          </c:yVal>
          <c:smooth val="1"/>
        </c:ser>
        <c:dLbls>
          <c:showLegendKey val="0"/>
          <c:showVal val="0"/>
          <c:showCatName val="0"/>
          <c:showSerName val="0"/>
          <c:showPercent val="0"/>
          <c:showBubbleSize val="0"/>
        </c:dLbls>
        <c:axId val="401104864"/>
        <c:axId val="401105256"/>
      </c:scatterChart>
      <c:scatterChart>
        <c:scatterStyle val="smoothMarker"/>
        <c:varyColors val="0"/>
        <c:ser>
          <c:idx val="1"/>
          <c:order val="1"/>
          <c:tx>
            <c:v>Erlös</c:v>
          </c:tx>
          <c:spPr>
            <a:ln w="15875" cap="rnd">
              <a:solidFill>
                <a:schemeClr val="tx1"/>
              </a:solidFill>
              <a:prstDash val="sysDot"/>
              <a:round/>
            </a:ln>
            <a:effectLst/>
          </c:spPr>
          <c:marker>
            <c:symbol val="none"/>
          </c:marker>
          <c:xVal>
            <c:numRef>
              <c:f>Tabelle1!$B$2:$B$30</c:f>
              <c:numCache>
                <c:formatCode>General</c:formatCode>
                <c:ptCount val="29"/>
                <c:pt idx="0">
                  <c:v>28</c:v>
                </c:pt>
                <c:pt idx="1">
                  <c:v>27</c:v>
                </c:pt>
                <c:pt idx="2">
                  <c:v>26</c:v>
                </c:pt>
                <c:pt idx="3">
                  <c:v>25</c:v>
                </c:pt>
                <c:pt idx="4">
                  <c:v>24</c:v>
                </c:pt>
                <c:pt idx="5">
                  <c:v>23</c:v>
                </c:pt>
                <c:pt idx="6">
                  <c:v>22</c:v>
                </c:pt>
                <c:pt idx="7">
                  <c:v>21</c:v>
                </c:pt>
                <c:pt idx="8">
                  <c:v>20</c:v>
                </c:pt>
                <c:pt idx="9">
                  <c:v>19</c:v>
                </c:pt>
                <c:pt idx="10">
                  <c:v>18</c:v>
                </c:pt>
                <c:pt idx="11">
                  <c:v>17</c:v>
                </c:pt>
                <c:pt idx="12">
                  <c:v>16</c:v>
                </c:pt>
                <c:pt idx="13">
                  <c:v>15</c:v>
                </c:pt>
                <c:pt idx="14">
                  <c:v>14</c:v>
                </c:pt>
                <c:pt idx="15">
                  <c:v>13</c:v>
                </c:pt>
                <c:pt idx="16">
                  <c:v>12</c:v>
                </c:pt>
                <c:pt idx="17">
                  <c:v>11</c:v>
                </c:pt>
                <c:pt idx="18">
                  <c:v>10</c:v>
                </c:pt>
                <c:pt idx="19">
                  <c:v>9</c:v>
                </c:pt>
                <c:pt idx="20">
                  <c:v>8</c:v>
                </c:pt>
                <c:pt idx="21">
                  <c:v>7</c:v>
                </c:pt>
                <c:pt idx="22">
                  <c:v>6</c:v>
                </c:pt>
                <c:pt idx="23">
                  <c:v>5</c:v>
                </c:pt>
                <c:pt idx="24">
                  <c:v>4</c:v>
                </c:pt>
                <c:pt idx="25">
                  <c:v>3</c:v>
                </c:pt>
                <c:pt idx="26">
                  <c:v>2</c:v>
                </c:pt>
                <c:pt idx="27">
                  <c:v>1</c:v>
                </c:pt>
                <c:pt idx="28">
                  <c:v>0</c:v>
                </c:pt>
              </c:numCache>
            </c:numRef>
          </c:xVal>
          <c:yVal>
            <c:numRef>
              <c:f>Tabelle1!$C$2:$C$30</c:f>
              <c:numCache>
                <c:formatCode>General</c:formatCode>
                <c:ptCount val="29"/>
                <c:pt idx="0">
                  <c:v>28</c:v>
                </c:pt>
                <c:pt idx="1">
                  <c:v>40.5</c:v>
                </c:pt>
                <c:pt idx="2">
                  <c:v>52</c:v>
                </c:pt>
                <c:pt idx="3">
                  <c:v>62.5</c:v>
                </c:pt>
                <c:pt idx="4">
                  <c:v>72</c:v>
                </c:pt>
                <c:pt idx="5">
                  <c:v>80.5</c:v>
                </c:pt>
                <c:pt idx="6">
                  <c:v>88</c:v>
                </c:pt>
                <c:pt idx="7">
                  <c:v>94.5</c:v>
                </c:pt>
                <c:pt idx="8">
                  <c:v>100</c:v>
                </c:pt>
                <c:pt idx="9">
                  <c:v>104.5</c:v>
                </c:pt>
                <c:pt idx="10">
                  <c:v>108</c:v>
                </c:pt>
                <c:pt idx="11">
                  <c:v>110.5</c:v>
                </c:pt>
                <c:pt idx="12">
                  <c:v>112</c:v>
                </c:pt>
                <c:pt idx="13">
                  <c:v>112.5</c:v>
                </c:pt>
                <c:pt idx="14">
                  <c:v>112</c:v>
                </c:pt>
                <c:pt idx="15">
                  <c:v>110.5</c:v>
                </c:pt>
                <c:pt idx="16">
                  <c:v>108</c:v>
                </c:pt>
                <c:pt idx="17">
                  <c:v>104.5</c:v>
                </c:pt>
                <c:pt idx="18">
                  <c:v>100</c:v>
                </c:pt>
                <c:pt idx="19">
                  <c:v>94.5</c:v>
                </c:pt>
                <c:pt idx="20">
                  <c:v>88</c:v>
                </c:pt>
                <c:pt idx="21">
                  <c:v>80.5</c:v>
                </c:pt>
                <c:pt idx="22">
                  <c:v>72</c:v>
                </c:pt>
                <c:pt idx="23">
                  <c:v>62.5</c:v>
                </c:pt>
                <c:pt idx="24">
                  <c:v>52</c:v>
                </c:pt>
                <c:pt idx="25">
                  <c:v>40.5</c:v>
                </c:pt>
                <c:pt idx="26">
                  <c:v>28</c:v>
                </c:pt>
                <c:pt idx="27">
                  <c:v>14.5</c:v>
                </c:pt>
                <c:pt idx="28">
                  <c:v>0</c:v>
                </c:pt>
              </c:numCache>
            </c:numRef>
          </c:yVal>
          <c:smooth val="1"/>
        </c:ser>
        <c:ser>
          <c:idx val="2"/>
          <c:order val="2"/>
          <c:tx>
            <c:v>Kosten</c:v>
          </c:tx>
          <c:spPr>
            <a:ln w="19050" cap="rnd">
              <a:solidFill>
                <a:schemeClr val="tx1"/>
              </a:solidFill>
              <a:prstDash val="dash"/>
              <a:round/>
            </a:ln>
            <a:effectLst/>
          </c:spPr>
          <c:marker>
            <c:symbol val="none"/>
          </c:marker>
          <c:xVal>
            <c:numRef>
              <c:f>Tabelle1!$B$2:$B$30</c:f>
              <c:numCache>
                <c:formatCode>General</c:formatCode>
                <c:ptCount val="29"/>
                <c:pt idx="0">
                  <c:v>28</c:v>
                </c:pt>
                <c:pt idx="1">
                  <c:v>27</c:v>
                </c:pt>
                <c:pt idx="2">
                  <c:v>26</c:v>
                </c:pt>
                <c:pt idx="3">
                  <c:v>25</c:v>
                </c:pt>
                <c:pt idx="4">
                  <c:v>24</c:v>
                </c:pt>
                <c:pt idx="5">
                  <c:v>23</c:v>
                </c:pt>
                <c:pt idx="6">
                  <c:v>22</c:v>
                </c:pt>
                <c:pt idx="7">
                  <c:v>21</c:v>
                </c:pt>
                <c:pt idx="8">
                  <c:v>20</c:v>
                </c:pt>
                <c:pt idx="9">
                  <c:v>19</c:v>
                </c:pt>
                <c:pt idx="10">
                  <c:v>18</c:v>
                </c:pt>
                <c:pt idx="11">
                  <c:v>17</c:v>
                </c:pt>
                <c:pt idx="12">
                  <c:v>16</c:v>
                </c:pt>
                <c:pt idx="13">
                  <c:v>15</c:v>
                </c:pt>
                <c:pt idx="14">
                  <c:v>14</c:v>
                </c:pt>
                <c:pt idx="15">
                  <c:v>13</c:v>
                </c:pt>
                <c:pt idx="16">
                  <c:v>12</c:v>
                </c:pt>
                <c:pt idx="17">
                  <c:v>11</c:v>
                </c:pt>
                <c:pt idx="18">
                  <c:v>10</c:v>
                </c:pt>
                <c:pt idx="19">
                  <c:v>9</c:v>
                </c:pt>
                <c:pt idx="20">
                  <c:v>8</c:v>
                </c:pt>
                <c:pt idx="21">
                  <c:v>7</c:v>
                </c:pt>
                <c:pt idx="22">
                  <c:v>6</c:v>
                </c:pt>
                <c:pt idx="23">
                  <c:v>5</c:v>
                </c:pt>
                <c:pt idx="24">
                  <c:v>4</c:v>
                </c:pt>
                <c:pt idx="25">
                  <c:v>3</c:v>
                </c:pt>
                <c:pt idx="26">
                  <c:v>2</c:v>
                </c:pt>
                <c:pt idx="27">
                  <c:v>1</c:v>
                </c:pt>
                <c:pt idx="28">
                  <c:v>0</c:v>
                </c:pt>
              </c:numCache>
            </c:numRef>
          </c:xVal>
          <c:yVal>
            <c:numRef>
              <c:f>Tabelle1!$D$2:$D$30</c:f>
              <c:numCache>
                <c:formatCode>General</c:formatCode>
                <c:ptCount val="29"/>
                <c:pt idx="0">
                  <c:v>84</c:v>
                </c:pt>
                <c:pt idx="1">
                  <c:v>81</c:v>
                </c:pt>
                <c:pt idx="2">
                  <c:v>78</c:v>
                </c:pt>
                <c:pt idx="3">
                  <c:v>75</c:v>
                </c:pt>
                <c:pt idx="4">
                  <c:v>72</c:v>
                </c:pt>
                <c:pt idx="5">
                  <c:v>69</c:v>
                </c:pt>
                <c:pt idx="6">
                  <c:v>66</c:v>
                </c:pt>
                <c:pt idx="7">
                  <c:v>63</c:v>
                </c:pt>
                <c:pt idx="8">
                  <c:v>60</c:v>
                </c:pt>
                <c:pt idx="9">
                  <c:v>57</c:v>
                </c:pt>
                <c:pt idx="10">
                  <c:v>54</c:v>
                </c:pt>
                <c:pt idx="11">
                  <c:v>51</c:v>
                </c:pt>
                <c:pt idx="12">
                  <c:v>48</c:v>
                </c:pt>
                <c:pt idx="13">
                  <c:v>45</c:v>
                </c:pt>
                <c:pt idx="14">
                  <c:v>42</c:v>
                </c:pt>
                <c:pt idx="15">
                  <c:v>39</c:v>
                </c:pt>
                <c:pt idx="16">
                  <c:v>36</c:v>
                </c:pt>
                <c:pt idx="17">
                  <c:v>33</c:v>
                </c:pt>
                <c:pt idx="18">
                  <c:v>30</c:v>
                </c:pt>
                <c:pt idx="19">
                  <c:v>27</c:v>
                </c:pt>
                <c:pt idx="20">
                  <c:v>24</c:v>
                </c:pt>
                <c:pt idx="21">
                  <c:v>21</c:v>
                </c:pt>
                <c:pt idx="22">
                  <c:v>18</c:v>
                </c:pt>
                <c:pt idx="23">
                  <c:v>15</c:v>
                </c:pt>
                <c:pt idx="24">
                  <c:v>12</c:v>
                </c:pt>
                <c:pt idx="25">
                  <c:v>9</c:v>
                </c:pt>
                <c:pt idx="26">
                  <c:v>6</c:v>
                </c:pt>
                <c:pt idx="27">
                  <c:v>3</c:v>
                </c:pt>
                <c:pt idx="28">
                  <c:v>0</c:v>
                </c:pt>
              </c:numCache>
            </c:numRef>
          </c:yVal>
          <c:smooth val="1"/>
        </c:ser>
        <c:dLbls>
          <c:showLegendKey val="0"/>
          <c:showVal val="0"/>
          <c:showCatName val="0"/>
          <c:showSerName val="0"/>
          <c:showPercent val="0"/>
          <c:showBubbleSize val="0"/>
        </c:dLbls>
        <c:axId val="401709400"/>
        <c:axId val="401709008"/>
      </c:scatterChart>
      <c:valAx>
        <c:axId val="4011048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Menge x</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01105256"/>
        <c:crosses val="autoZero"/>
        <c:crossBetween val="midCat"/>
      </c:valAx>
      <c:valAx>
        <c:axId val="40110525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Preis P, Grenzkosten, Grenzerlös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01104864"/>
        <c:crosses val="autoZero"/>
        <c:crossBetween val="midCat"/>
      </c:valAx>
      <c:valAx>
        <c:axId val="40170900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Kosten K, Erlös 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01709400"/>
        <c:crosses val="max"/>
        <c:crossBetween val="midCat"/>
      </c:valAx>
      <c:valAx>
        <c:axId val="401709400"/>
        <c:scaling>
          <c:orientation val="minMax"/>
        </c:scaling>
        <c:delete val="1"/>
        <c:axPos val="b"/>
        <c:numFmt formatCode="General" sourceLinked="1"/>
        <c:majorTickMark val="out"/>
        <c:minorTickMark val="none"/>
        <c:tickLblPos val="nextTo"/>
        <c:crossAx val="4017090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0.42242</cdr:x>
      <cdr:y>0.37309</cdr:y>
    </cdr:from>
    <cdr:to>
      <cdr:x>0.42243</cdr:x>
      <cdr:y>0.66922</cdr:y>
    </cdr:to>
    <cdr:cxnSp macro="">
      <cdr:nvCxnSpPr>
        <cdr:cNvPr id="3" name="Gerader Verbinder 2"/>
        <cdr:cNvCxnSpPr/>
      </cdr:nvCxnSpPr>
      <cdr:spPr>
        <a:xfrm xmlns:a="http://schemas.openxmlformats.org/drawingml/2006/main" flipH="1" flipV="1">
          <a:off x="1543050" y="1162050"/>
          <a:ext cx="3" cy="92234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0.15906</cdr:x>
      <cdr:y>0.36723</cdr:y>
    </cdr:from>
    <cdr:to>
      <cdr:x>0.41721</cdr:x>
      <cdr:y>0.36723</cdr:y>
    </cdr:to>
    <cdr:cxnSp macro="">
      <cdr:nvCxnSpPr>
        <cdr:cNvPr id="6" name="Gerader Verbinder 5"/>
        <cdr:cNvCxnSpPr/>
      </cdr:nvCxnSpPr>
      <cdr:spPr>
        <a:xfrm xmlns:a="http://schemas.openxmlformats.org/drawingml/2006/main">
          <a:off x="581025" y="1143794"/>
          <a:ext cx="942975"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1984</Words>
  <Characters>12503</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Ragnitz</dc:creator>
  <cp:keywords/>
  <dc:description/>
  <cp:lastModifiedBy>Joachim Ragnitz</cp:lastModifiedBy>
  <cp:revision>5</cp:revision>
  <dcterms:created xsi:type="dcterms:W3CDTF">2017-01-12T19:06:00Z</dcterms:created>
  <dcterms:modified xsi:type="dcterms:W3CDTF">2017-01-16T19:39:00Z</dcterms:modified>
</cp:coreProperties>
</file>