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E06C55" w14:textId="25367164" w:rsidR="00CE28EE" w:rsidRDefault="007A4903" w:rsidP="007A4903">
      <w:pPr>
        <w:jc w:val="center"/>
        <w:rPr>
          <w:b/>
          <w:bCs/>
          <w:sz w:val="28"/>
          <w:szCs w:val="28"/>
        </w:rPr>
      </w:pPr>
      <w:r w:rsidRPr="00B7071D">
        <w:rPr>
          <w:b/>
          <w:bCs/>
          <w:sz w:val="28"/>
          <w:szCs w:val="28"/>
        </w:rPr>
        <w:t>Linearführungen</w:t>
      </w:r>
    </w:p>
    <w:p w14:paraId="34A8BCBB" w14:textId="49C1A5CF" w:rsidR="00B7071D" w:rsidRDefault="00B7071D" w:rsidP="00B7071D">
      <w:pPr>
        <w:pStyle w:val="berschrift1"/>
      </w:pPr>
      <w:r>
        <w:t>Einteilung</w:t>
      </w:r>
    </w:p>
    <w:p w14:paraId="07EAE18D" w14:textId="4F26F4C1" w:rsidR="000C08FE" w:rsidRDefault="000C08FE" w:rsidP="00137AD5">
      <w:pPr>
        <w:jc w:val="both"/>
      </w:pPr>
      <w:r>
        <w:t>Das Grundsätzliche Ziel einer Führung ist die Begrenzung der sechs möglichen Freiheitsgrade (drei translatorische und drei rotatorische) auf, in den meisten Fällen, einen bzw. zwei Freiheitsgrade) ([</w:t>
      </w:r>
      <w:bookmarkStart w:id="0" w:name="_Ref71032378"/>
      <w:r>
        <w:rPr>
          <w:rStyle w:val="Endnotenzeichen"/>
        </w:rPr>
        <w:endnoteReference w:id="2"/>
      </w:r>
      <w:bookmarkEnd w:id="0"/>
      <w:r>
        <w:t>, S.</w:t>
      </w:r>
      <w:r w:rsidR="004D1F90">
        <w:t xml:space="preserve"> </w:t>
      </w:r>
      <w:r>
        <w:t xml:space="preserve">206). </w:t>
      </w:r>
      <w:r w:rsidR="00B7071D">
        <w:t>Die Einteilung erfolgt anhand der Paarung der Führungsflächen in ebene und zylindrische Linearführungen (</w:t>
      </w:r>
      <w:r w:rsidR="00B7071D">
        <w:fldChar w:fldCharType="begin"/>
      </w:r>
      <w:r w:rsidR="00B7071D">
        <w:instrText xml:space="preserve"> REF _Ref70881436 \h </w:instrText>
      </w:r>
      <w:r w:rsidR="00137AD5">
        <w:instrText xml:space="preserve"> \* MERGEFORMAT </w:instrText>
      </w:r>
      <w:r w:rsidR="00B7071D">
        <w:fldChar w:fldCharType="separate"/>
      </w:r>
      <w:r w:rsidR="000C4059">
        <w:t xml:space="preserve">Abbildung </w:t>
      </w:r>
      <w:r w:rsidR="000C4059">
        <w:rPr>
          <w:noProof/>
        </w:rPr>
        <w:t>1</w:t>
      </w:r>
      <w:r w:rsidR="00B7071D">
        <w:fldChar w:fldCharType="end"/>
      </w:r>
      <w:r w:rsidR="00B7071D">
        <w:t>)</w:t>
      </w:r>
      <w:r w:rsidR="00662273">
        <w:t xml:space="preserve"> mit dem Ziel einer geradlinigen Bewegung</w:t>
      </w:r>
      <w:r>
        <w:t xml:space="preserve"> ([</w:t>
      </w:r>
      <w:r>
        <w:fldChar w:fldCharType="begin"/>
      </w:r>
      <w:r>
        <w:instrText xml:space="preserve"> NOTEREF _Ref71018467 \h </w:instrText>
      </w:r>
      <w:r>
        <w:fldChar w:fldCharType="separate"/>
      </w:r>
      <w:r w:rsidR="000C4059">
        <w:t>2</w:t>
      </w:r>
      <w:r>
        <w:fldChar w:fldCharType="end"/>
      </w:r>
      <w:r>
        <w:t>], S.</w:t>
      </w:r>
      <w:r w:rsidR="004D1F90">
        <w:t xml:space="preserve"> </w:t>
      </w:r>
      <w:r>
        <w:t>453)</w:t>
      </w:r>
      <w:r w:rsidR="00662273">
        <w:t>.</w:t>
      </w:r>
    </w:p>
    <w:p w14:paraId="4C646010" w14:textId="77777777" w:rsidR="000C08FE" w:rsidRDefault="000C08FE" w:rsidP="00137AD5">
      <w:pPr>
        <w:jc w:val="both"/>
      </w:pPr>
    </w:p>
    <w:p w14:paraId="41C61649" w14:textId="77777777" w:rsidR="000C08FE" w:rsidRDefault="000C08FE" w:rsidP="000C08FE">
      <w:pPr>
        <w:keepNext/>
      </w:pPr>
      <w:r>
        <w:rPr>
          <w:noProof/>
        </w:rPr>
        <w:drawing>
          <wp:inline distT="0" distB="0" distL="0" distR="0" wp14:anchorId="47F8FDA9" wp14:editId="54BD5886">
            <wp:extent cx="4184600" cy="1857375"/>
            <wp:effectExtent l="19050" t="19050" r="2603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a:extLst>
                        <a:ext uri="{28A0092B-C50C-407E-A947-70E740481C1C}">
                          <a14:useLocalDpi xmlns:a14="http://schemas.microsoft.com/office/drawing/2010/main" val="0"/>
                        </a:ext>
                      </a:extLst>
                    </a:blip>
                    <a:stretch>
                      <a:fillRect/>
                    </a:stretch>
                  </pic:blipFill>
                  <pic:spPr>
                    <a:xfrm>
                      <a:off x="0" y="0"/>
                      <a:ext cx="4296089" cy="1906860"/>
                    </a:xfrm>
                    <a:prstGeom prst="rect">
                      <a:avLst/>
                    </a:prstGeom>
                    <a:ln>
                      <a:solidFill>
                        <a:schemeClr val="tx1"/>
                      </a:solidFill>
                    </a:ln>
                  </pic:spPr>
                </pic:pic>
              </a:graphicData>
            </a:graphic>
          </wp:inline>
        </w:drawing>
      </w:r>
    </w:p>
    <w:p w14:paraId="6751CB81" w14:textId="3E3AB886" w:rsidR="000C08FE" w:rsidRDefault="000C08FE" w:rsidP="000C08FE">
      <w:pPr>
        <w:pStyle w:val="Beschriftung"/>
        <w:spacing w:before="0" w:beforeAutospacing="0"/>
      </w:pPr>
      <w:bookmarkStart w:id="1" w:name="_Ref70881436"/>
      <w:r>
        <w:t xml:space="preserve">Abbildung </w:t>
      </w:r>
      <w:r>
        <w:fldChar w:fldCharType="begin"/>
      </w:r>
      <w:r>
        <w:instrText xml:space="preserve"> SEQ Abbildung \* ARABIC </w:instrText>
      </w:r>
      <w:r>
        <w:fldChar w:fldCharType="separate"/>
      </w:r>
      <w:r w:rsidR="00A954E7">
        <w:rPr>
          <w:noProof/>
        </w:rPr>
        <w:t>1</w:t>
      </w:r>
      <w:r>
        <w:rPr>
          <w:noProof/>
        </w:rPr>
        <w:fldChar w:fldCharType="end"/>
      </w:r>
      <w:bookmarkEnd w:id="1"/>
      <w:r>
        <w:t>: Einteilung von Linearführungen ([</w:t>
      </w:r>
      <w:r>
        <w:fldChar w:fldCharType="begin"/>
      </w:r>
      <w:r>
        <w:instrText xml:space="preserve"> NOTEREF _Ref71018467 \h </w:instrText>
      </w:r>
      <w:r>
        <w:fldChar w:fldCharType="separate"/>
      </w:r>
      <w:r w:rsidR="000C4059">
        <w:t>2</w:t>
      </w:r>
      <w:r>
        <w:fldChar w:fldCharType="end"/>
      </w:r>
      <w:r>
        <w:t>], S.</w:t>
      </w:r>
      <w:r w:rsidR="00E207AE">
        <w:t xml:space="preserve"> </w:t>
      </w:r>
      <w:r>
        <w:t>453)</w:t>
      </w:r>
    </w:p>
    <w:p w14:paraId="2EB381E9" w14:textId="4787D6A4" w:rsidR="000C08FE" w:rsidRDefault="000C08FE" w:rsidP="00137AD5">
      <w:pPr>
        <w:jc w:val="both"/>
      </w:pPr>
      <w:r>
        <w:t>Ebenso ist eine Einteilung nach Führungs- und Lagerart möglich (</w:t>
      </w:r>
      <w:r w:rsidR="001B091B">
        <w:fldChar w:fldCharType="begin"/>
      </w:r>
      <w:r w:rsidR="001B091B">
        <w:instrText xml:space="preserve"> REF _Ref71032387 \h </w:instrText>
      </w:r>
      <w:r w:rsidR="001B091B">
        <w:fldChar w:fldCharType="separate"/>
      </w:r>
      <w:r w:rsidR="000C4059">
        <w:t xml:space="preserve">Abbildung </w:t>
      </w:r>
      <w:r w:rsidR="000C4059">
        <w:rPr>
          <w:noProof/>
        </w:rPr>
        <w:t>2</w:t>
      </w:r>
      <w:r w:rsidR="001B091B">
        <w:fldChar w:fldCharType="end"/>
      </w:r>
      <w:r w:rsidR="001B091B">
        <w:t>).</w:t>
      </w:r>
    </w:p>
    <w:p w14:paraId="0CED0D2C" w14:textId="77777777" w:rsidR="001B091B" w:rsidRDefault="000C08FE" w:rsidP="001B091B">
      <w:pPr>
        <w:keepNext/>
        <w:jc w:val="both"/>
      </w:pPr>
      <w:r>
        <w:rPr>
          <w:noProof/>
        </w:rPr>
        <w:drawing>
          <wp:inline distT="0" distB="0" distL="0" distR="0" wp14:anchorId="2BAA792D" wp14:editId="1F84C1E6">
            <wp:extent cx="4305300" cy="3943350"/>
            <wp:effectExtent l="19050" t="19050" r="19050" b="1905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9">
                      <a:extLst>
                        <a:ext uri="{28A0092B-C50C-407E-A947-70E740481C1C}">
                          <a14:useLocalDpi xmlns:a14="http://schemas.microsoft.com/office/drawing/2010/main" val="0"/>
                        </a:ext>
                      </a:extLst>
                    </a:blip>
                    <a:stretch>
                      <a:fillRect/>
                    </a:stretch>
                  </pic:blipFill>
                  <pic:spPr>
                    <a:xfrm>
                      <a:off x="0" y="0"/>
                      <a:ext cx="4450764" cy="4076585"/>
                    </a:xfrm>
                    <a:prstGeom prst="rect">
                      <a:avLst/>
                    </a:prstGeom>
                    <a:ln>
                      <a:solidFill>
                        <a:schemeClr val="tx1"/>
                      </a:solidFill>
                    </a:ln>
                  </pic:spPr>
                </pic:pic>
              </a:graphicData>
            </a:graphic>
          </wp:inline>
        </w:drawing>
      </w:r>
    </w:p>
    <w:p w14:paraId="4B153268" w14:textId="6DC5C0F9" w:rsidR="000C08FE" w:rsidRDefault="001B091B" w:rsidP="001B091B">
      <w:pPr>
        <w:pStyle w:val="Beschriftung"/>
        <w:spacing w:before="0" w:beforeAutospacing="0"/>
        <w:jc w:val="both"/>
      </w:pPr>
      <w:bookmarkStart w:id="2" w:name="_Ref71032387"/>
      <w:r>
        <w:t xml:space="preserve">Abbildung </w:t>
      </w:r>
      <w:r>
        <w:fldChar w:fldCharType="begin"/>
      </w:r>
      <w:r>
        <w:instrText xml:space="preserve"> SEQ Abbildung \* ARABIC </w:instrText>
      </w:r>
      <w:r>
        <w:fldChar w:fldCharType="separate"/>
      </w:r>
      <w:r w:rsidR="00A954E7">
        <w:rPr>
          <w:noProof/>
        </w:rPr>
        <w:t>2</w:t>
      </w:r>
      <w:r>
        <w:fldChar w:fldCharType="end"/>
      </w:r>
      <w:bookmarkEnd w:id="2"/>
      <w:r>
        <w:t>: Einteilung nach Führungs- und Lagerart ([</w:t>
      </w:r>
      <w:r>
        <w:fldChar w:fldCharType="begin"/>
      </w:r>
      <w:r>
        <w:instrText xml:space="preserve"> NOTEREF _Ref71032378 \h </w:instrText>
      </w:r>
      <w:r>
        <w:fldChar w:fldCharType="separate"/>
      </w:r>
      <w:r w:rsidR="000C4059">
        <w:t>1</w:t>
      </w:r>
      <w:r>
        <w:fldChar w:fldCharType="end"/>
      </w:r>
      <w:r>
        <w:t>], S.</w:t>
      </w:r>
      <w:r w:rsidR="00E207AE">
        <w:t xml:space="preserve"> </w:t>
      </w:r>
      <w:r>
        <w:t>206)</w:t>
      </w:r>
    </w:p>
    <w:p w14:paraId="27FEA267" w14:textId="7FEA90E7" w:rsidR="00055A3D" w:rsidRDefault="00055A3D" w:rsidP="00055A3D">
      <w:pPr>
        <w:pStyle w:val="berschrift1"/>
      </w:pPr>
      <w:r>
        <w:lastRenderedPageBreak/>
        <w:t>Lagerungen</w:t>
      </w:r>
    </w:p>
    <w:p w14:paraId="1A790703" w14:textId="0F18799B" w:rsidR="001B091B" w:rsidRDefault="001B091B" w:rsidP="001B091B">
      <w:pPr>
        <w:jc w:val="both"/>
      </w:pPr>
      <w:r>
        <w:t>Ein tabellarischer Vergleich zeigt die Vor- Nachteile der einzelnen Lagerarten schematisch auf (</w:t>
      </w:r>
      <w:r>
        <w:fldChar w:fldCharType="begin"/>
      </w:r>
      <w:r>
        <w:instrText xml:space="preserve"> REF _Ref71032667 \h </w:instrText>
      </w:r>
      <w:r>
        <w:fldChar w:fldCharType="separate"/>
      </w:r>
      <w:r w:rsidR="000C4059">
        <w:t xml:space="preserve">Abbildung </w:t>
      </w:r>
      <w:r w:rsidR="000C4059">
        <w:rPr>
          <w:noProof/>
        </w:rPr>
        <w:t>3</w:t>
      </w:r>
      <w:r>
        <w:fldChar w:fldCharType="end"/>
      </w:r>
      <w:r>
        <w:t>).</w:t>
      </w:r>
    </w:p>
    <w:p w14:paraId="300EAD98" w14:textId="77777777" w:rsidR="001B091B" w:rsidRDefault="001B091B" w:rsidP="001B091B">
      <w:pPr>
        <w:keepNext/>
      </w:pPr>
      <w:r>
        <w:rPr>
          <w:noProof/>
        </w:rPr>
        <w:drawing>
          <wp:inline distT="0" distB="0" distL="0" distR="0" wp14:anchorId="66111884" wp14:editId="5C636068">
            <wp:extent cx="4219575" cy="3531870"/>
            <wp:effectExtent l="19050" t="19050" r="28575" b="1143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0">
                      <a:extLst>
                        <a:ext uri="{28A0092B-C50C-407E-A947-70E740481C1C}">
                          <a14:useLocalDpi xmlns:a14="http://schemas.microsoft.com/office/drawing/2010/main" val="0"/>
                        </a:ext>
                      </a:extLst>
                    </a:blip>
                    <a:stretch>
                      <a:fillRect/>
                    </a:stretch>
                  </pic:blipFill>
                  <pic:spPr>
                    <a:xfrm>
                      <a:off x="0" y="0"/>
                      <a:ext cx="4373190" cy="3660449"/>
                    </a:xfrm>
                    <a:prstGeom prst="rect">
                      <a:avLst/>
                    </a:prstGeom>
                    <a:ln>
                      <a:solidFill>
                        <a:schemeClr val="tx1"/>
                      </a:solidFill>
                    </a:ln>
                  </pic:spPr>
                </pic:pic>
              </a:graphicData>
            </a:graphic>
          </wp:inline>
        </w:drawing>
      </w:r>
    </w:p>
    <w:p w14:paraId="714ADECE" w14:textId="5688F78F" w:rsidR="0060228E" w:rsidRDefault="001B091B" w:rsidP="009F2BCF">
      <w:pPr>
        <w:pStyle w:val="Beschriftung"/>
        <w:spacing w:before="0" w:beforeAutospacing="0"/>
      </w:pPr>
      <w:bookmarkStart w:id="3" w:name="_Ref71032667"/>
      <w:bookmarkStart w:id="4" w:name="_Ref71050656"/>
      <w:r>
        <w:t xml:space="preserve">Abbildung </w:t>
      </w:r>
      <w:r>
        <w:fldChar w:fldCharType="begin"/>
      </w:r>
      <w:r>
        <w:instrText xml:space="preserve"> SEQ Abbildung \* ARABIC </w:instrText>
      </w:r>
      <w:r>
        <w:fldChar w:fldCharType="separate"/>
      </w:r>
      <w:r w:rsidR="00A954E7">
        <w:rPr>
          <w:noProof/>
        </w:rPr>
        <w:t>3</w:t>
      </w:r>
      <w:r>
        <w:fldChar w:fldCharType="end"/>
      </w:r>
      <w:bookmarkEnd w:id="3"/>
      <w:r>
        <w:t>: Vergleich verschiedener Lagerarten ([</w:t>
      </w:r>
      <w:r>
        <w:fldChar w:fldCharType="begin"/>
      </w:r>
      <w:r>
        <w:instrText xml:space="preserve"> NOTEREF _Ref71032378 \h </w:instrText>
      </w:r>
      <w:r>
        <w:fldChar w:fldCharType="separate"/>
      </w:r>
      <w:r w:rsidR="000C4059">
        <w:t>1</w:t>
      </w:r>
      <w:r>
        <w:fldChar w:fldCharType="end"/>
      </w:r>
      <w:r>
        <w:t>], S.</w:t>
      </w:r>
      <w:r w:rsidR="00E207AE">
        <w:t xml:space="preserve"> </w:t>
      </w:r>
      <w:r>
        <w:t>209)</w:t>
      </w:r>
      <w:bookmarkEnd w:id="4"/>
    </w:p>
    <w:p w14:paraId="42D45A29" w14:textId="77777777" w:rsidR="00735979" w:rsidRDefault="00735979" w:rsidP="00735979">
      <w:pPr>
        <w:keepNext/>
        <w:jc w:val="both"/>
      </w:pPr>
      <w:r>
        <w:rPr>
          <w:noProof/>
        </w:rPr>
        <w:drawing>
          <wp:inline distT="0" distB="0" distL="0" distR="0" wp14:anchorId="204FE927" wp14:editId="31ACFEE1">
            <wp:extent cx="4219575" cy="3825875"/>
            <wp:effectExtent l="19050" t="19050" r="28575" b="2222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1">
                      <a:extLst>
                        <a:ext uri="{28A0092B-C50C-407E-A947-70E740481C1C}">
                          <a14:useLocalDpi xmlns:a14="http://schemas.microsoft.com/office/drawing/2010/main" val="0"/>
                        </a:ext>
                      </a:extLst>
                    </a:blip>
                    <a:stretch>
                      <a:fillRect/>
                    </a:stretch>
                  </pic:blipFill>
                  <pic:spPr>
                    <a:xfrm>
                      <a:off x="0" y="0"/>
                      <a:ext cx="4330469" cy="3926422"/>
                    </a:xfrm>
                    <a:prstGeom prst="rect">
                      <a:avLst/>
                    </a:prstGeom>
                    <a:ln>
                      <a:solidFill>
                        <a:schemeClr val="tx1"/>
                      </a:solidFill>
                    </a:ln>
                  </pic:spPr>
                </pic:pic>
              </a:graphicData>
            </a:graphic>
          </wp:inline>
        </w:drawing>
      </w:r>
    </w:p>
    <w:p w14:paraId="264070CA" w14:textId="1291C879" w:rsidR="00735979" w:rsidRDefault="00735979" w:rsidP="00735979">
      <w:pPr>
        <w:pStyle w:val="Beschriftung"/>
        <w:spacing w:before="0" w:beforeAutospacing="0"/>
        <w:jc w:val="both"/>
      </w:pPr>
      <w:bookmarkStart w:id="5" w:name="_Ref71033192"/>
      <w:r>
        <w:t xml:space="preserve">Abbildung </w:t>
      </w:r>
      <w:r>
        <w:fldChar w:fldCharType="begin"/>
      </w:r>
      <w:r>
        <w:instrText xml:space="preserve"> SEQ Abbildung \* ARABIC </w:instrText>
      </w:r>
      <w:r>
        <w:fldChar w:fldCharType="separate"/>
      </w:r>
      <w:r w:rsidR="00A954E7">
        <w:rPr>
          <w:noProof/>
        </w:rPr>
        <w:t>4</w:t>
      </w:r>
      <w:r>
        <w:fldChar w:fldCharType="end"/>
      </w:r>
      <w:bookmarkEnd w:id="5"/>
      <w:r>
        <w:t xml:space="preserve">: </w:t>
      </w:r>
      <w:r>
        <w:t>Einsatzbereiche verschiedener Lagersysteme</w:t>
      </w:r>
      <w:r>
        <w:t xml:space="preserve"> ([</w:t>
      </w:r>
      <w:r>
        <w:fldChar w:fldCharType="begin"/>
      </w:r>
      <w:r>
        <w:instrText xml:space="preserve"> NOTEREF _Ref71032378 \h </w:instrText>
      </w:r>
      <w:r>
        <w:fldChar w:fldCharType="separate"/>
      </w:r>
      <w:r w:rsidR="000C4059">
        <w:t>1</w:t>
      </w:r>
      <w:r>
        <w:fldChar w:fldCharType="end"/>
      </w:r>
      <w:r>
        <w:t>], S. 210)</w:t>
      </w:r>
    </w:p>
    <w:p w14:paraId="633C5304" w14:textId="5F8E0064" w:rsidR="009F2BCF" w:rsidRDefault="009F2BCF" w:rsidP="00A954E7">
      <w:pPr>
        <w:jc w:val="both"/>
      </w:pPr>
      <w:r>
        <w:lastRenderedPageBreak/>
        <w:t xml:space="preserve">Wie </w:t>
      </w:r>
      <w:r>
        <w:t>den</w:t>
      </w:r>
      <w:r>
        <w:t xml:space="preserve"> </w:t>
      </w:r>
      <w:r>
        <w:fldChar w:fldCharType="begin"/>
      </w:r>
      <w:r>
        <w:instrText xml:space="preserve"> REF _Ref71032667 \h </w:instrText>
      </w:r>
      <w:r w:rsidR="00A954E7">
        <w:instrText xml:space="preserve"> \* MERGEFORMAT </w:instrText>
      </w:r>
      <w:r>
        <w:fldChar w:fldCharType="separate"/>
      </w:r>
      <w:r w:rsidR="000C4059">
        <w:t xml:space="preserve">Abbildung </w:t>
      </w:r>
      <w:r w:rsidR="000C4059">
        <w:rPr>
          <w:noProof/>
        </w:rPr>
        <w:t>3</w:t>
      </w:r>
      <w:r>
        <w:fldChar w:fldCharType="end"/>
      </w:r>
      <w:r>
        <w:t xml:space="preserve"> und </w:t>
      </w:r>
      <w:r>
        <w:fldChar w:fldCharType="begin"/>
      </w:r>
      <w:r>
        <w:instrText xml:space="preserve"> REF _Ref71033192 \h </w:instrText>
      </w:r>
      <w:r w:rsidR="00A954E7">
        <w:instrText xml:space="preserve"> \* MERGEFORMAT </w:instrText>
      </w:r>
      <w:r>
        <w:fldChar w:fldCharType="separate"/>
      </w:r>
      <w:r w:rsidR="000C4059">
        <w:t xml:space="preserve">Abbildung </w:t>
      </w:r>
      <w:r w:rsidR="000C4059">
        <w:rPr>
          <w:noProof/>
        </w:rPr>
        <w:t>4</w:t>
      </w:r>
      <w:r>
        <w:fldChar w:fldCharType="end"/>
      </w:r>
      <w:r>
        <w:t xml:space="preserve"> zu entnehmen ist, sind Wälzlagerungen für ein breites Spektrum an Anwendungen geeignet. Aus diesem Grund sind diese Lagerungen auch die am häufigsten eingesetzten. ([</w:t>
      </w:r>
      <w:r>
        <w:fldChar w:fldCharType="begin"/>
      </w:r>
      <w:r>
        <w:instrText xml:space="preserve"> NOTEREF _Ref71032378 \h </w:instrText>
      </w:r>
      <w:r w:rsidR="00A954E7">
        <w:instrText xml:space="preserve"> \* MERGEFORMAT </w:instrText>
      </w:r>
      <w:r>
        <w:fldChar w:fldCharType="separate"/>
      </w:r>
      <w:r w:rsidR="000C4059">
        <w:t>1</w:t>
      </w:r>
      <w:r>
        <w:fldChar w:fldCharType="end"/>
      </w:r>
      <w:r>
        <w:t>], S.</w:t>
      </w:r>
      <w:r w:rsidR="00E207AE">
        <w:t xml:space="preserve"> </w:t>
      </w:r>
      <w:r>
        <w:t>210)</w:t>
      </w:r>
    </w:p>
    <w:p w14:paraId="52A01B18" w14:textId="74F57AA4" w:rsidR="009F2BCF" w:rsidRPr="009F2BCF" w:rsidRDefault="009F2BCF" w:rsidP="00A954E7">
      <w:pPr>
        <w:jc w:val="both"/>
      </w:pPr>
      <w:r>
        <w:t xml:space="preserve">Die Vor- und Nachteile von Wälzlagerungen sind in der nachfolgenden </w:t>
      </w:r>
      <w:r>
        <w:fldChar w:fldCharType="begin"/>
      </w:r>
      <w:r>
        <w:instrText xml:space="preserve"> REF _Ref71050778 \h </w:instrText>
      </w:r>
      <w:r w:rsidR="00A954E7">
        <w:instrText xml:space="preserve"> \* MERGEFORMAT </w:instrText>
      </w:r>
      <w:r>
        <w:fldChar w:fldCharType="separate"/>
      </w:r>
      <w:r w:rsidR="000C4059">
        <w:t xml:space="preserve">Tabelle </w:t>
      </w:r>
      <w:r w:rsidR="000C4059">
        <w:rPr>
          <w:noProof/>
        </w:rPr>
        <w:t>1</w:t>
      </w:r>
      <w:r>
        <w:fldChar w:fldCharType="end"/>
      </w:r>
      <w:r>
        <w:t xml:space="preserve"> aufgelistet.</w:t>
      </w:r>
    </w:p>
    <w:p w14:paraId="6C02251D" w14:textId="724CA2F9" w:rsidR="006E04E8" w:rsidRDefault="006E04E8" w:rsidP="006E04E8">
      <w:pPr>
        <w:pStyle w:val="Beschriftung"/>
        <w:keepNext/>
        <w:spacing w:after="0" w:afterAutospacing="0"/>
        <w:jc w:val="both"/>
      </w:pPr>
      <w:bookmarkStart w:id="6" w:name="_Ref71050778"/>
      <w:r>
        <w:t xml:space="preserve">Tabelle </w:t>
      </w:r>
      <w:r>
        <w:fldChar w:fldCharType="begin"/>
      </w:r>
      <w:r>
        <w:instrText xml:space="preserve"> SEQ Tabelle \* ARABIC </w:instrText>
      </w:r>
      <w:r>
        <w:fldChar w:fldCharType="separate"/>
      </w:r>
      <w:r w:rsidR="000C4059">
        <w:rPr>
          <w:noProof/>
        </w:rPr>
        <w:t>1</w:t>
      </w:r>
      <w:r>
        <w:fldChar w:fldCharType="end"/>
      </w:r>
      <w:bookmarkEnd w:id="6"/>
      <w:r>
        <w:t>: Eigenschaften von Wälzlagern (erstellt anhand [</w:t>
      </w:r>
      <w:r>
        <w:fldChar w:fldCharType="begin"/>
      </w:r>
      <w:r>
        <w:instrText xml:space="preserve"> NOTEREF _Ref71032378 \h </w:instrText>
      </w:r>
      <w:r>
        <w:fldChar w:fldCharType="separate"/>
      </w:r>
      <w:r w:rsidR="000C4059">
        <w:t>1</w:t>
      </w:r>
      <w:r>
        <w:fldChar w:fldCharType="end"/>
      </w:r>
      <w:r>
        <w:t>], S.</w:t>
      </w:r>
      <w:r w:rsidR="00E207AE">
        <w:t xml:space="preserve"> </w:t>
      </w:r>
      <w:r>
        <w:t>210 und S.</w:t>
      </w:r>
      <w:r w:rsidR="00E207AE">
        <w:t xml:space="preserve"> </w:t>
      </w:r>
      <w:r>
        <w:t>211)</w:t>
      </w:r>
    </w:p>
    <w:p w14:paraId="25255CB3" w14:textId="097B8E86" w:rsidR="00735979" w:rsidRDefault="006949C9" w:rsidP="00137AD5">
      <w:pPr>
        <w:jc w:val="both"/>
        <w:rPr>
          <w14:textOutline w14:w="12700" w14:cap="rnd" w14:cmpd="sng" w14:algn="ctr">
            <w14:solidFill>
              <w14:schemeClr w14:val="tx1"/>
            </w14:solidFill>
            <w14:prstDash w14:val="solid"/>
            <w14:bevel/>
          </w14:textOutline>
        </w:rPr>
      </w:pPr>
      <w:r>
        <w:rPr>
          <w14:textOutline w14:w="12700" w14:cap="rnd" w14:cmpd="sng" w14:algn="ctr">
            <w14:solidFill>
              <w14:schemeClr w14:val="tx1"/>
            </w14:solidFill>
            <w14:prstDash w14:val="solid"/>
            <w14:bevel/>
          </w14:textOutline>
        </w:rPr>
        <w:object w:dxaOrig="12434" w:dyaOrig="8400" w14:anchorId="514D88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458.25pt;height:319.5pt" o:ole="">
            <v:imagedata r:id="rId12" o:title=""/>
          </v:shape>
          <o:OLEObject Type="Embed" ProgID="Excel.Sheet.12" ShapeID="_x0000_i1046" DrawAspect="Content" ObjectID="_1681673814" r:id="rId13"/>
        </w:object>
      </w:r>
    </w:p>
    <w:p w14:paraId="10E1D702" w14:textId="1B7AADA5" w:rsidR="00E0173C" w:rsidRDefault="00E0173C">
      <w:r>
        <w:br w:type="page"/>
      </w:r>
    </w:p>
    <w:p w14:paraId="3FF0D165" w14:textId="77777777" w:rsidR="00E0173C" w:rsidRDefault="00E0173C" w:rsidP="00E0173C">
      <w:pPr>
        <w:jc w:val="both"/>
      </w:pPr>
      <w:r>
        <w:lastRenderedPageBreak/>
        <w:t xml:space="preserve">Eine zusätzliche Übersicht über die wesentlichen Eigenschaften einiger Wälzlagerbauformen bietet </w:t>
      </w:r>
      <w:r>
        <w:fldChar w:fldCharType="begin"/>
      </w:r>
      <w:r>
        <w:instrText xml:space="preserve"> REF _Ref71057608 \h </w:instrText>
      </w:r>
      <w:r>
        <w:fldChar w:fldCharType="separate"/>
      </w:r>
      <w:r>
        <w:t xml:space="preserve">Abbildung </w:t>
      </w:r>
      <w:r>
        <w:rPr>
          <w:noProof/>
        </w:rPr>
        <w:t>5</w:t>
      </w:r>
      <w:r>
        <w:fldChar w:fldCharType="end"/>
      </w:r>
      <w:r>
        <w:t>.</w:t>
      </w:r>
    </w:p>
    <w:p w14:paraId="4C6453D4" w14:textId="77777777" w:rsidR="006E04E8" w:rsidRDefault="006E04E8" w:rsidP="00137AD5">
      <w:pPr>
        <w:jc w:val="both"/>
      </w:pPr>
    </w:p>
    <w:p w14:paraId="1E715FDF" w14:textId="77777777" w:rsidR="00055A3D" w:rsidRDefault="00055A3D" w:rsidP="00055A3D">
      <w:pPr>
        <w:keepNext/>
      </w:pPr>
      <w:r>
        <w:rPr>
          <w:noProof/>
        </w:rPr>
        <w:drawing>
          <wp:inline distT="0" distB="0" distL="0" distR="0" wp14:anchorId="4F865E0E" wp14:editId="7ECD181A">
            <wp:extent cx="5039428" cy="7659169"/>
            <wp:effectExtent l="19050" t="19050" r="27940" b="18415"/>
            <wp:docPr id="11" name="Grafik 11"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Tisch enthält.&#10;&#10;Automatisch generierte Beschreibung"/>
                    <pic:cNvPicPr/>
                  </pic:nvPicPr>
                  <pic:blipFill>
                    <a:blip r:embed="rId14">
                      <a:extLst>
                        <a:ext uri="{28A0092B-C50C-407E-A947-70E740481C1C}">
                          <a14:useLocalDpi xmlns:a14="http://schemas.microsoft.com/office/drawing/2010/main" val="0"/>
                        </a:ext>
                      </a:extLst>
                    </a:blip>
                    <a:stretch>
                      <a:fillRect/>
                    </a:stretch>
                  </pic:blipFill>
                  <pic:spPr>
                    <a:xfrm>
                      <a:off x="0" y="0"/>
                      <a:ext cx="5039428" cy="7659169"/>
                    </a:xfrm>
                    <a:prstGeom prst="rect">
                      <a:avLst/>
                    </a:prstGeom>
                    <a:ln>
                      <a:solidFill>
                        <a:schemeClr val="tx1"/>
                      </a:solidFill>
                    </a:ln>
                  </pic:spPr>
                </pic:pic>
              </a:graphicData>
            </a:graphic>
          </wp:inline>
        </w:drawing>
      </w:r>
    </w:p>
    <w:p w14:paraId="57276C44" w14:textId="149DE051" w:rsidR="00055A3D" w:rsidRDefault="00055A3D" w:rsidP="00E0173C">
      <w:pPr>
        <w:pStyle w:val="Beschriftung"/>
        <w:spacing w:before="0" w:beforeAutospacing="0"/>
      </w:pPr>
      <w:bookmarkStart w:id="7" w:name="_Ref71057591"/>
      <w:bookmarkStart w:id="8" w:name="_Ref71057608"/>
      <w:r>
        <w:t xml:space="preserve">Abbildung </w:t>
      </w:r>
      <w:r>
        <w:fldChar w:fldCharType="begin"/>
      </w:r>
      <w:r>
        <w:instrText xml:space="preserve"> SEQ Abbildung \* ARABIC </w:instrText>
      </w:r>
      <w:r>
        <w:fldChar w:fldCharType="separate"/>
      </w:r>
      <w:r w:rsidR="00A954E7">
        <w:rPr>
          <w:noProof/>
        </w:rPr>
        <w:t>5</w:t>
      </w:r>
      <w:r>
        <w:fldChar w:fldCharType="end"/>
      </w:r>
      <w:bookmarkEnd w:id="8"/>
      <w:r>
        <w:t>:</w:t>
      </w:r>
      <w:bookmarkEnd w:id="7"/>
      <w:r w:rsidRPr="00055A3D">
        <w:t xml:space="preserve"> </w:t>
      </w:r>
      <w:r>
        <w:t>Wesentliche Eigenschaften üblicher Wälzlagerbauformen</w:t>
      </w:r>
      <w:r>
        <w:t xml:space="preserve"> (entnommen aus ([</w:t>
      </w:r>
      <w:r>
        <w:fldChar w:fldCharType="begin"/>
      </w:r>
      <w:r>
        <w:instrText xml:space="preserve"> NOTEREF _Ref71032378 \h </w:instrText>
      </w:r>
      <w:r>
        <w:fldChar w:fldCharType="separate"/>
      </w:r>
      <w:r w:rsidR="000C4059">
        <w:t>1</w:t>
      </w:r>
      <w:r>
        <w:fldChar w:fldCharType="end"/>
      </w:r>
      <w:r>
        <w:t xml:space="preserve">], S. 305), </w:t>
      </w:r>
      <w:r>
        <w:t>Nach Schaeffler</w:t>
      </w:r>
      <w:r>
        <w:t>)</w:t>
      </w:r>
    </w:p>
    <w:p w14:paraId="488A59DE" w14:textId="56AD1DCA" w:rsidR="00055A3D" w:rsidRDefault="00055A3D" w:rsidP="00055A3D">
      <w:pPr>
        <w:pStyle w:val="berschrift1"/>
      </w:pPr>
      <w:r>
        <w:lastRenderedPageBreak/>
        <w:t>Führungen</w:t>
      </w:r>
    </w:p>
    <w:p w14:paraId="30040C64" w14:textId="01151310" w:rsidR="00735979" w:rsidRDefault="00735979" w:rsidP="00735979">
      <w:pPr>
        <w:jc w:val="both"/>
      </w:pPr>
      <w:r>
        <w:t xml:space="preserve">Die wesentlichen Anforderungen an Führungen bestehen in einer Aufrechterhaltung der geforderten Position (auch unter Belastung, d.h. die Führung sollte möglichst steif sein und Schwingungen dämpfen) sowie in der genauen Lagebestimmung der zu führenden Teile. Es ist ein Kippen, Ecken, Entgleisen oder Abheben zu verhindern. Ebenso ist eine leichte </w:t>
      </w:r>
      <w:proofErr w:type="spellStart"/>
      <w:r>
        <w:t>Verstellbewegung</w:t>
      </w:r>
      <w:proofErr w:type="spellEnd"/>
      <w:r>
        <w:t xml:space="preserve">, die möglichst gleichförmig und präzise ausgeführt werden soll, zu realisieren (Stick-Slip-Effekte). Hierfür sollten die Reibungskräfte sowohl konstant als auch </w:t>
      </w:r>
      <w:r w:rsidR="009F2BCF">
        <w:t xml:space="preserve">möglichst </w:t>
      </w:r>
      <w:r>
        <w:t xml:space="preserve">gering sein. Zusätzlich </w:t>
      </w:r>
      <w:r w:rsidR="009F2BCF">
        <w:t>wird</w:t>
      </w:r>
      <w:r>
        <w:t xml:space="preserve"> ein geringer Verschleiß bzw. ,wenn dieser vorhanden ist, eine Nachstellmöglichkeit </w:t>
      </w:r>
      <w:r w:rsidR="009F2BCF">
        <w:t>gefordert</w:t>
      </w:r>
      <w:r>
        <w:t>. Um die Anforderungen zu erfüllen sind gewisse konstruktive als auch fertigungstechnische Maßnahmen zu ergreifen, wie bspw. eine Schutzvorrichtung gegen eindringenden Staub, Späne oder Schmutz sowie eine zuverlässige Schmierung. ([</w:t>
      </w:r>
      <w:bookmarkStart w:id="9" w:name="_Ref71018467"/>
      <w:r>
        <w:rPr>
          <w:rStyle w:val="Endnotenzeichen"/>
        </w:rPr>
        <w:endnoteReference w:id="3"/>
      </w:r>
      <w:bookmarkEnd w:id="9"/>
      <w:r>
        <w:t>], S.</w:t>
      </w:r>
      <w:r w:rsidR="00E207AE">
        <w:t xml:space="preserve"> </w:t>
      </w:r>
      <w:r>
        <w:t>453)</w:t>
      </w:r>
    </w:p>
    <w:p w14:paraId="47AA928C" w14:textId="224C7194" w:rsidR="00055A3D" w:rsidRDefault="000C4059" w:rsidP="00735979">
      <w:pPr>
        <w:jc w:val="both"/>
      </w:pPr>
      <w:r>
        <w:t xml:space="preserve">Anhand von Grundformen </w:t>
      </w:r>
      <w:r>
        <w:t>(</w:t>
      </w:r>
      <w:r>
        <w:fldChar w:fldCharType="begin"/>
      </w:r>
      <w:r>
        <w:instrText xml:space="preserve"> REF _Ref71058188 \h </w:instrText>
      </w:r>
      <w:r>
        <w:fldChar w:fldCharType="separate"/>
      </w:r>
      <w:r>
        <w:t xml:space="preserve">Abbildung </w:t>
      </w:r>
      <w:r>
        <w:rPr>
          <w:noProof/>
        </w:rPr>
        <w:t>6</w:t>
      </w:r>
      <w:r>
        <w:fldChar w:fldCharType="end"/>
      </w:r>
      <w:r>
        <w:t>)</w:t>
      </w:r>
      <w:r>
        <w:t>, wie der Rechteck-, Dreieck- und Kreisform lassen sich andere Führungsformen wie die Profilschienenführung ableiten (</w:t>
      </w:r>
      <w:r>
        <w:fldChar w:fldCharType="begin"/>
      </w:r>
      <w:r>
        <w:instrText xml:space="preserve"> REF _Ref71058208 \h </w:instrText>
      </w:r>
      <w:r>
        <w:fldChar w:fldCharType="separate"/>
      </w:r>
      <w:r>
        <w:t xml:space="preserve">Abbildung </w:t>
      </w:r>
      <w:r>
        <w:rPr>
          <w:noProof/>
        </w:rPr>
        <w:t>7</w:t>
      </w:r>
      <w:r>
        <w:fldChar w:fldCharType="end"/>
      </w:r>
      <w:r>
        <w:t>).</w:t>
      </w:r>
    </w:p>
    <w:p w14:paraId="69ADEE77" w14:textId="33F439F3" w:rsidR="00A954E7" w:rsidRDefault="00A954E7" w:rsidP="00735979">
      <w:pPr>
        <w:jc w:val="both"/>
      </w:pPr>
      <w:r>
        <w:t xml:space="preserve">Grundsätzlich </w:t>
      </w:r>
      <w:r w:rsidR="00E0173C">
        <w:t xml:space="preserve">ist bei Überlegungen bezüglich von konstruktiven Lösungsmöglichkeiten die statische Bestimmtheit eines Systems zu beachten, um bspw. ein Verklemmen bei Temperaturausdehnung oder </w:t>
      </w:r>
      <w:r w:rsidR="00805C99">
        <w:t xml:space="preserve">ein Verkanten infolge von Überbestimmtheit </w:t>
      </w:r>
      <w:r w:rsidR="00E0173C">
        <w:t>zu vermeiden</w:t>
      </w:r>
      <w:r w:rsidR="00805C99">
        <w:t xml:space="preserve"> ([</w:t>
      </w:r>
      <w:r w:rsidR="00805C99">
        <w:fldChar w:fldCharType="begin"/>
      </w:r>
      <w:r w:rsidR="00805C99">
        <w:instrText xml:space="preserve"> NOTEREF _Ref71032378 \h </w:instrText>
      </w:r>
      <w:r w:rsidR="00805C99">
        <w:fldChar w:fldCharType="separate"/>
      </w:r>
      <w:r w:rsidR="00805C99">
        <w:t>1</w:t>
      </w:r>
      <w:r w:rsidR="00805C99">
        <w:fldChar w:fldCharType="end"/>
      </w:r>
      <w:r w:rsidR="00805C99">
        <w:t>], S. 226 bis S. 231).</w:t>
      </w:r>
    </w:p>
    <w:p w14:paraId="3B5FF718" w14:textId="77777777" w:rsidR="005A32AB" w:rsidRDefault="005A32AB" w:rsidP="00735979">
      <w:pPr>
        <w:jc w:val="both"/>
      </w:pPr>
    </w:p>
    <w:p w14:paraId="3814A94C" w14:textId="77777777" w:rsidR="00055A3D" w:rsidRDefault="00055A3D" w:rsidP="00055A3D">
      <w:pPr>
        <w:keepNext/>
      </w:pPr>
      <w:r>
        <w:rPr>
          <w:noProof/>
        </w:rPr>
        <w:drawing>
          <wp:inline distT="0" distB="0" distL="0" distR="0" wp14:anchorId="6CEF1C53" wp14:editId="3F371B0E">
            <wp:extent cx="4905375" cy="3687318"/>
            <wp:effectExtent l="19050" t="19050" r="9525" b="2794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5">
                      <a:extLst>
                        <a:ext uri="{28A0092B-C50C-407E-A947-70E740481C1C}">
                          <a14:useLocalDpi xmlns:a14="http://schemas.microsoft.com/office/drawing/2010/main" val="0"/>
                        </a:ext>
                      </a:extLst>
                    </a:blip>
                    <a:stretch>
                      <a:fillRect/>
                    </a:stretch>
                  </pic:blipFill>
                  <pic:spPr>
                    <a:xfrm>
                      <a:off x="0" y="0"/>
                      <a:ext cx="4915688" cy="3695070"/>
                    </a:xfrm>
                    <a:prstGeom prst="rect">
                      <a:avLst/>
                    </a:prstGeom>
                    <a:ln>
                      <a:solidFill>
                        <a:schemeClr val="tx1"/>
                      </a:solidFill>
                    </a:ln>
                  </pic:spPr>
                </pic:pic>
              </a:graphicData>
            </a:graphic>
          </wp:inline>
        </w:drawing>
      </w:r>
    </w:p>
    <w:p w14:paraId="0BAFA8E5" w14:textId="616A8245" w:rsidR="00055A3D" w:rsidRPr="001D028B" w:rsidRDefault="00055A3D" w:rsidP="00055A3D">
      <w:pPr>
        <w:pStyle w:val="Beschriftung"/>
        <w:spacing w:before="0" w:beforeAutospacing="0" w:after="0" w:afterAutospacing="0"/>
      </w:pPr>
      <w:bookmarkStart w:id="10" w:name="_Ref71058188"/>
      <w:r>
        <w:t xml:space="preserve">Abbildung </w:t>
      </w:r>
      <w:r>
        <w:fldChar w:fldCharType="begin"/>
      </w:r>
      <w:r>
        <w:instrText xml:space="preserve"> SEQ Abbildung \* ARABIC </w:instrText>
      </w:r>
      <w:r>
        <w:fldChar w:fldCharType="separate"/>
      </w:r>
      <w:r w:rsidR="00A954E7">
        <w:rPr>
          <w:noProof/>
        </w:rPr>
        <w:t>6</w:t>
      </w:r>
      <w:r>
        <w:fldChar w:fldCharType="end"/>
      </w:r>
      <w:bookmarkEnd w:id="10"/>
      <w:r>
        <w:t>:</w:t>
      </w:r>
      <w:r>
        <w:t xml:space="preserve"> Grundformen für Führungspaare</w:t>
      </w:r>
      <w:r w:rsidR="00E207AE">
        <w:t xml:space="preserve"> (entnommen aus ([</w:t>
      </w:r>
      <w:r w:rsidR="00E207AE">
        <w:fldChar w:fldCharType="begin"/>
      </w:r>
      <w:r w:rsidR="00E207AE">
        <w:instrText xml:space="preserve"> NOTEREF _Ref71032378 \h </w:instrText>
      </w:r>
      <w:r w:rsidR="00E207AE">
        <w:fldChar w:fldCharType="separate"/>
      </w:r>
      <w:r w:rsidR="00E207AE">
        <w:t>1</w:t>
      </w:r>
      <w:r w:rsidR="00E207AE">
        <w:fldChar w:fldCharType="end"/>
      </w:r>
      <w:r w:rsidR="00E207AE">
        <w:t>], S. 228)</w:t>
      </w:r>
    </w:p>
    <w:p w14:paraId="7C1AE70C" w14:textId="77777777" w:rsidR="00735979" w:rsidRDefault="00735979" w:rsidP="00137AD5">
      <w:pPr>
        <w:jc w:val="both"/>
      </w:pPr>
    </w:p>
    <w:p w14:paraId="66A89E73" w14:textId="77777777" w:rsidR="00055A3D" w:rsidRDefault="001D028B" w:rsidP="00055A3D">
      <w:pPr>
        <w:keepNext/>
      </w:pPr>
      <w:r>
        <w:rPr>
          <w:noProof/>
        </w:rPr>
        <w:lastRenderedPageBreak/>
        <w:drawing>
          <wp:inline distT="0" distB="0" distL="0" distR="0" wp14:anchorId="7131F6A2" wp14:editId="674FAE7C">
            <wp:extent cx="4572000" cy="6893169"/>
            <wp:effectExtent l="19050" t="19050" r="19050" b="22225"/>
            <wp:docPr id="13" name="Grafik 1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Ein Bild, das Text enthält.&#10;&#10;Automatisch generierte Beschreibung"/>
                    <pic:cNvPicPr/>
                  </pic:nvPicPr>
                  <pic:blipFill>
                    <a:blip r:embed="rId16">
                      <a:extLst>
                        <a:ext uri="{28A0092B-C50C-407E-A947-70E740481C1C}">
                          <a14:useLocalDpi xmlns:a14="http://schemas.microsoft.com/office/drawing/2010/main" val="0"/>
                        </a:ext>
                      </a:extLst>
                    </a:blip>
                    <a:stretch>
                      <a:fillRect/>
                    </a:stretch>
                  </pic:blipFill>
                  <pic:spPr>
                    <a:xfrm>
                      <a:off x="0" y="0"/>
                      <a:ext cx="4585724" cy="6913861"/>
                    </a:xfrm>
                    <a:prstGeom prst="rect">
                      <a:avLst/>
                    </a:prstGeom>
                    <a:ln>
                      <a:solidFill>
                        <a:schemeClr val="tx1"/>
                      </a:solidFill>
                    </a:ln>
                  </pic:spPr>
                </pic:pic>
              </a:graphicData>
            </a:graphic>
          </wp:inline>
        </w:drawing>
      </w:r>
    </w:p>
    <w:p w14:paraId="4C12F944" w14:textId="77453491" w:rsidR="000C4059" w:rsidRDefault="00055A3D" w:rsidP="00E0173C">
      <w:pPr>
        <w:pStyle w:val="Beschriftung"/>
        <w:spacing w:before="0" w:beforeAutospacing="0"/>
      </w:pPr>
      <w:bookmarkStart w:id="11" w:name="_Ref71058208"/>
      <w:r>
        <w:t xml:space="preserve">Abbildung </w:t>
      </w:r>
      <w:r>
        <w:fldChar w:fldCharType="begin"/>
      </w:r>
      <w:r>
        <w:instrText xml:space="preserve"> SEQ Abbildung \* ARABIC </w:instrText>
      </w:r>
      <w:r>
        <w:fldChar w:fldCharType="separate"/>
      </w:r>
      <w:r w:rsidR="00A954E7">
        <w:rPr>
          <w:noProof/>
        </w:rPr>
        <w:t>7</w:t>
      </w:r>
      <w:r>
        <w:fldChar w:fldCharType="end"/>
      </w:r>
      <w:bookmarkEnd w:id="11"/>
      <w:r>
        <w:t>:</w:t>
      </w:r>
      <w:r w:rsidR="000C4059" w:rsidRPr="000C4059">
        <w:t xml:space="preserve"> </w:t>
      </w:r>
      <w:r w:rsidR="000C4059">
        <w:t>Auswahl der am häufigsten vorkommenden Wälzführungen mit Unterteilung nach Schienenart, Wälzkörpertyp und -rückführung (entnommen aus [</w:t>
      </w:r>
      <w:r w:rsidR="000C4059">
        <w:fldChar w:fldCharType="begin"/>
      </w:r>
      <w:r w:rsidR="000C4059">
        <w:instrText xml:space="preserve"> NOTEREF _Ref71032378 \h </w:instrText>
      </w:r>
      <w:r w:rsidR="000C4059">
        <w:fldChar w:fldCharType="separate"/>
      </w:r>
      <w:r w:rsidR="000C4059">
        <w:t>1</w:t>
      </w:r>
      <w:r w:rsidR="000C4059">
        <w:fldChar w:fldCharType="end"/>
      </w:r>
      <w:r w:rsidR="000C4059">
        <w:t xml:space="preserve">], S.292, </w:t>
      </w:r>
      <w:r w:rsidR="000C4059">
        <w:t>Quelle: Bosch Rexroth, NSK, Schaeffler, Schneeberger, SKF, THK</w:t>
      </w:r>
      <w:r w:rsidR="000C4059">
        <w:t>)</w:t>
      </w:r>
    </w:p>
    <w:p w14:paraId="0AAA2549" w14:textId="20501942" w:rsidR="00E0173C" w:rsidRDefault="00ED5D96" w:rsidP="00A954E7">
      <w:pPr>
        <w:jc w:val="both"/>
      </w:pPr>
      <w:r>
        <w:t xml:space="preserve">Einen Vergleich bezüglich der Tragfähigkeit, der realisierbaren Geschwindigkeit und der Reibung bestimmter Wälzlagertypen sind der </w:t>
      </w:r>
      <w:r>
        <w:fldChar w:fldCharType="begin"/>
      </w:r>
      <w:r>
        <w:instrText xml:space="preserve"> REF _Ref71058937 \h </w:instrText>
      </w:r>
      <w:r w:rsidR="00A954E7">
        <w:instrText xml:space="preserve"> \* MERGEFORMAT </w:instrText>
      </w:r>
      <w:r>
        <w:fldChar w:fldCharType="separate"/>
      </w:r>
      <w:r>
        <w:t xml:space="preserve">Abbildung </w:t>
      </w:r>
      <w:r>
        <w:rPr>
          <w:noProof/>
        </w:rPr>
        <w:t>8</w:t>
      </w:r>
      <w:r>
        <w:fldChar w:fldCharType="end"/>
      </w:r>
      <w:r>
        <w:t xml:space="preserve"> zu entnehmen.</w:t>
      </w:r>
      <w:r w:rsidR="00A954E7" w:rsidRPr="00A954E7">
        <w:t xml:space="preserve"> </w:t>
      </w:r>
      <w:r w:rsidR="00E0173C">
        <w:t>Der Lagertyp wird üblicherweise anhand der gestellten Anforderungen, sprich nach Größe und Belastungsrichtung der Betriebslasten, den Drehzahlen, der geforderten Mindestlebensdauer und dem Bauraum ausgewählt ([</w:t>
      </w:r>
      <w:r w:rsidR="00E0173C">
        <w:fldChar w:fldCharType="begin"/>
      </w:r>
      <w:r w:rsidR="00E0173C">
        <w:instrText xml:space="preserve"> NOTEREF _Ref71032378 \h </w:instrText>
      </w:r>
      <w:r w:rsidR="00E0173C">
        <w:fldChar w:fldCharType="separate"/>
      </w:r>
      <w:r w:rsidR="00E0173C">
        <w:t>1</w:t>
      </w:r>
      <w:r w:rsidR="00E0173C">
        <w:fldChar w:fldCharType="end"/>
      </w:r>
      <w:r w:rsidR="00E0173C">
        <w:t>],S. 304).</w:t>
      </w:r>
    </w:p>
    <w:p w14:paraId="678B3D86" w14:textId="77777777" w:rsidR="00E0173C" w:rsidRDefault="00E0173C" w:rsidP="00A954E7">
      <w:pPr>
        <w:jc w:val="both"/>
      </w:pPr>
    </w:p>
    <w:p w14:paraId="09D48638" w14:textId="77777777" w:rsidR="00ED5D96" w:rsidRDefault="001D028B" w:rsidP="00ED5D96">
      <w:pPr>
        <w:keepNext/>
      </w:pPr>
      <w:r>
        <w:rPr>
          <w:noProof/>
        </w:rPr>
        <w:drawing>
          <wp:inline distT="0" distB="0" distL="0" distR="0" wp14:anchorId="21993D29" wp14:editId="5AC8A3D9">
            <wp:extent cx="5760085" cy="4445000"/>
            <wp:effectExtent l="19050" t="19050" r="12065" b="1270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7">
                      <a:extLst>
                        <a:ext uri="{28A0092B-C50C-407E-A947-70E740481C1C}">
                          <a14:useLocalDpi xmlns:a14="http://schemas.microsoft.com/office/drawing/2010/main" val="0"/>
                        </a:ext>
                      </a:extLst>
                    </a:blip>
                    <a:stretch>
                      <a:fillRect/>
                    </a:stretch>
                  </pic:blipFill>
                  <pic:spPr>
                    <a:xfrm>
                      <a:off x="0" y="0"/>
                      <a:ext cx="5760085" cy="4445000"/>
                    </a:xfrm>
                    <a:prstGeom prst="rect">
                      <a:avLst/>
                    </a:prstGeom>
                    <a:ln>
                      <a:solidFill>
                        <a:schemeClr val="tx1"/>
                      </a:solidFill>
                    </a:ln>
                  </pic:spPr>
                </pic:pic>
              </a:graphicData>
            </a:graphic>
          </wp:inline>
        </w:drawing>
      </w:r>
    </w:p>
    <w:p w14:paraId="1A9D4442" w14:textId="3B0DD9BA" w:rsidR="005847F4" w:rsidRPr="005847F4" w:rsidRDefault="00ED5D96" w:rsidP="00ED5D96">
      <w:pPr>
        <w:pStyle w:val="Beschriftung"/>
        <w:spacing w:before="0" w:beforeAutospacing="0"/>
      </w:pPr>
      <w:bookmarkStart w:id="12" w:name="_Ref71058937"/>
      <w:r>
        <w:t xml:space="preserve">Abbildung </w:t>
      </w:r>
      <w:r>
        <w:fldChar w:fldCharType="begin"/>
      </w:r>
      <w:r>
        <w:instrText xml:space="preserve"> SEQ Abbildung \* ARABIC </w:instrText>
      </w:r>
      <w:r>
        <w:fldChar w:fldCharType="separate"/>
      </w:r>
      <w:r w:rsidR="00A954E7">
        <w:rPr>
          <w:noProof/>
        </w:rPr>
        <w:t>8</w:t>
      </w:r>
      <w:r>
        <w:fldChar w:fldCharType="end"/>
      </w:r>
      <w:bookmarkEnd w:id="12"/>
      <w:r>
        <w:t xml:space="preserve">: Eigenschaftsvergleich verschiedener </w:t>
      </w:r>
      <w:proofErr w:type="spellStart"/>
      <w:r>
        <w:t>Wälzfürungstypen</w:t>
      </w:r>
      <w:proofErr w:type="spellEnd"/>
      <w:r>
        <w:t xml:space="preserve"> (entnommen aus [</w:t>
      </w:r>
      <w:r>
        <w:fldChar w:fldCharType="begin"/>
      </w:r>
      <w:r>
        <w:instrText xml:space="preserve"> NOTEREF _Ref71032378 \h </w:instrText>
      </w:r>
      <w:r>
        <w:fldChar w:fldCharType="separate"/>
      </w:r>
      <w:r>
        <w:t>1</w:t>
      </w:r>
      <w:r>
        <w:fldChar w:fldCharType="end"/>
      </w:r>
      <w:r>
        <w:t>], S.</w:t>
      </w:r>
      <w:r w:rsidR="00E76598">
        <w:t xml:space="preserve"> </w:t>
      </w:r>
      <w:r>
        <w:t xml:space="preserve">304, </w:t>
      </w:r>
      <w:r>
        <w:t>Nach Bosch Rexroth, Schaeffler</w:t>
      </w:r>
      <w:r>
        <w:t xml:space="preserve">, </w:t>
      </w:r>
      <w:r>
        <w:t>Schneeberger</w:t>
      </w:r>
      <w:r>
        <w:t>)</w:t>
      </w:r>
    </w:p>
    <w:p w14:paraId="5BCCEE71" w14:textId="004ECE1C" w:rsidR="00511858" w:rsidRDefault="00ED5D96" w:rsidP="00A954E7">
      <w:pPr>
        <w:jc w:val="both"/>
      </w:pPr>
      <w:r>
        <w:t xml:space="preserve">Zusätzlich sei als Linearführungstyp aus den zylindrischen Führungen die </w:t>
      </w:r>
      <w:r w:rsidR="00D55DFB">
        <w:t>Wellenführung mit Tragschiene zu nennen</w:t>
      </w:r>
      <w:r w:rsidR="00A954E7">
        <w:t xml:space="preserve"> (</w:t>
      </w:r>
      <w:r w:rsidR="00A954E7">
        <w:fldChar w:fldCharType="begin"/>
      </w:r>
      <w:r w:rsidR="00A954E7">
        <w:instrText xml:space="preserve"> REF _Ref71059285 \h </w:instrText>
      </w:r>
      <w:r w:rsidR="00A954E7">
        <w:instrText xml:space="preserve"> \* MERGEFORMAT </w:instrText>
      </w:r>
      <w:r w:rsidR="00A954E7">
        <w:fldChar w:fldCharType="separate"/>
      </w:r>
      <w:r w:rsidR="00A954E7">
        <w:t xml:space="preserve">Abbildung </w:t>
      </w:r>
      <w:r w:rsidR="00A954E7">
        <w:rPr>
          <w:noProof/>
        </w:rPr>
        <w:t>9</w:t>
      </w:r>
      <w:r w:rsidR="00A954E7">
        <w:fldChar w:fldCharType="end"/>
      </w:r>
      <w:r w:rsidR="00A954E7">
        <w:t xml:space="preserve"> und </w:t>
      </w:r>
      <w:r w:rsidR="00A954E7">
        <w:fldChar w:fldCharType="begin"/>
      </w:r>
      <w:r w:rsidR="00A954E7">
        <w:instrText xml:space="preserve"> REF _Ref71059311 \h </w:instrText>
      </w:r>
      <w:r w:rsidR="00A954E7">
        <w:instrText xml:space="preserve"> \* MERGEFORMAT </w:instrText>
      </w:r>
      <w:r w:rsidR="00A954E7">
        <w:fldChar w:fldCharType="separate"/>
      </w:r>
      <w:r w:rsidR="00A954E7">
        <w:t xml:space="preserve">Abbildung </w:t>
      </w:r>
      <w:r w:rsidR="00A954E7">
        <w:rPr>
          <w:noProof/>
        </w:rPr>
        <w:t>10</w:t>
      </w:r>
      <w:r w:rsidR="00A954E7">
        <w:fldChar w:fldCharType="end"/>
      </w:r>
      <w:r w:rsidR="00A954E7">
        <w:t>)</w:t>
      </w:r>
      <w:r w:rsidR="00D55DFB">
        <w:t xml:space="preserve">. Sie bietet den </w:t>
      </w:r>
      <w:r w:rsidR="00AE0A53">
        <w:t xml:space="preserve">konstruktiven </w:t>
      </w:r>
      <w:r w:rsidR="00D55DFB">
        <w:t xml:space="preserve">Vorteil einer erhöhten Steifigkeit </w:t>
      </w:r>
      <w:r w:rsidR="00AE0A53">
        <w:t xml:space="preserve">durch die Tragschiene </w:t>
      </w:r>
      <w:r w:rsidR="00A954E7">
        <w:t>gegenüber der einfachen Wellenführung mit den niedrigen Reibungseigenschaften von Linear-Kugellagern.</w:t>
      </w:r>
    </w:p>
    <w:p w14:paraId="00790136" w14:textId="77777777" w:rsidR="00AE0A53" w:rsidRDefault="00AE0A53" w:rsidP="00A954E7">
      <w:pPr>
        <w:jc w:val="both"/>
      </w:pPr>
    </w:p>
    <w:p w14:paraId="44AEB759" w14:textId="77777777" w:rsidR="000D4FF5" w:rsidRDefault="00CE5317" w:rsidP="000D4FF5">
      <w:pPr>
        <w:keepNext/>
      </w:pPr>
      <w:r>
        <w:rPr>
          <w:noProof/>
        </w:rPr>
        <w:lastRenderedPageBreak/>
        <w:drawing>
          <wp:inline distT="0" distB="0" distL="0" distR="0" wp14:anchorId="65836F12" wp14:editId="5B629092">
            <wp:extent cx="4086225" cy="2298305"/>
            <wp:effectExtent l="19050" t="19050" r="9525" b="26035"/>
            <wp:docPr id="6" name="Grafik 6" descr="Ein Bild, das drinnen, Gerä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drinnen, Gerät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10162" cy="2311768"/>
                    </a:xfrm>
                    <a:prstGeom prst="rect">
                      <a:avLst/>
                    </a:prstGeom>
                    <a:ln>
                      <a:solidFill>
                        <a:schemeClr val="tx1"/>
                      </a:solidFill>
                    </a:ln>
                  </pic:spPr>
                </pic:pic>
              </a:graphicData>
            </a:graphic>
          </wp:inline>
        </w:drawing>
      </w:r>
    </w:p>
    <w:p w14:paraId="00C66426" w14:textId="280E19D7" w:rsidR="00CE5317" w:rsidRDefault="000D4FF5" w:rsidP="005A32AB">
      <w:pPr>
        <w:pStyle w:val="Beschriftung"/>
        <w:spacing w:before="0" w:beforeAutospacing="0"/>
      </w:pPr>
      <w:bookmarkStart w:id="13" w:name="_Ref71059285"/>
      <w:r>
        <w:t xml:space="preserve">Abbildung </w:t>
      </w:r>
      <w:r>
        <w:fldChar w:fldCharType="begin"/>
      </w:r>
      <w:r>
        <w:instrText xml:space="preserve"> SEQ Abbildung \* ARABIC </w:instrText>
      </w:r>
      <w:r>
        <w:fldChar w:fldCharType="separate"/>
      </w:r>
      <w:r w:rsidR="00A954E7">
        <w:rPr>
          <w:noProof/>
        </w:rPr>
        <w:t>9</w:t>
      </w:r>
      <w:r>
        <w:fldChar w:fldCharType="end"/>
      </w:r>
      <w:bookmarkEnd w:id="13"/>
      <w:r>
        <w:t>: Beispiele zylindrischer Führungen [</w:t>
      </w:r>
      <w:r>
        <w:rPr>
          <w:rStyle w:val="Endnotenzeichen"/>
        </w:rPr>
        <w:endnoteReference w:id="4"/>
      </w:r>
      <w:r>
        <w:t>]</w:t>
      </w:r>
    </w:p>
    <w:p w14:paraId="0A910775" w14:textId="77777777" w:rsidR="00A954E7" w:rsidRDefault="00CE5317" w:rsidP="00A954E7">
      <w:pPr>
        <w:keepNext/>
      </w:pPr>
      <w:r>
        <w:rPr>
          <w:noProof/>
        </w:rPr>
        <w:drawing>
          <wp:inline distT="0" distB="0" distL="0" distR="0" wp14:anchorId="35E98B73" wp14:editId="7D73CB4E">
            <wp:extent cx="4076700" cy="3918602"/>
            <wp:effectExtent l="19050" t="19050" r="19050" b="2476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9">
                      <a:extLst>
                        <a:ext uri="{28A0092B-C50C-407E-A947-70E740481C1C}">
                          <a14:useLocalDpi xmlns:a14="http://schemas.microsoft.com/office/drawing/2010/main" val="0"/>
                        </a:ext>
                      </a:extLst>
                    </a:blip>
                    <a:stretch>
                      <a:fillRect/>
                    </a:stretch>
                  </pic:blipFill>
                  <pic:spPr>
                    <a:xfrm>
                      <a:off x="0" y="0"/>
                      <a:ext cx="4114326" cy="3954769"/>
                    </a:xfrm>
                    <a:prstGeom prst="rect">
                      <a:avLst/>
                    </a:prstGeom>
                    <a:ln>
                      <a:solidFill>
                        <a:schemeClr val="tx1"/>
                      </a:solidFill>
                    </a:ln>
                  </pic:spPr>
                </pic:pic>
              </a:graphicData>
            </a:graphic>
          </wp:inline>
        </w:drawing>
      </w:r>
    </w:p>
    <w:p w14:paraId="28AE53B5" w14:textId="2D585001" w:rsidR="00137AD5" w:rsidRDefault="00A954E7" w:rsidP="00282058">
      <w:pPr>
        <w:pStyle w:val="Beschriftung"/>
        <w:spacing w:before="0" w:beforeAutospacing="0"/>
      </w:pPr>
      <w:bookmarkStart w:id="14" w:name="_Ref71059311"/>
      <w:r>
        <w:t xml:space="preserve">Abbildung </w:t>
      </w:r>
      <w:r>
        <w:fldChar w:fldCharType="begin"/>
      </w:r>
      <w:r>
        <w:instrText xml:space="preserve"> SEQ Abbildung \* ARABIC </w:instrText>
      </w:r>
      <w:r>
        <w:fldChar w:fldCharType="separate"/>
      </w:r>
      <w:r>
        <w:rPr>
          <w:noProof/>
        </w:rPr>
        <w:t>10</w:t>
      </w:r>
      <w:r>
        <w:fldChar w:fldCharType="end"/>
      </w:r>
      <w:bookmarkEnd w:id="14"/>
      <w:r>
        <w:t xml:space="preserve">: Tragschiene </w:t>
      </w:r>
      <w:r>
        <w:t>TSNW..-G4, TSNW..-G5</w:t>
      </w:r>
      <w:r>
        <w:t xml:space="preserve"> (</w:t>
      </w:r>
      <w:r w:rsidR="005A32AB">
        <w:t>[</w:t>
      </w:r>
      <w:r>
        <w:rPr>
          <w:rStyle w:val="Endnotenzeichen"/>
        </w:rPr>
        <w:endnoteReference w:id="5"/>
      </w:r>
      <w:r>
        <w:t>], S. 124)</w:t>
      </w:r>
    </w:p>
    <w:p w14:paraId="774857AC" w14:textId="30020D35" w:rsidR="00CE5317" w:rsidRPr="00511858" w:rsidRDefault="00282058" w:rsidP="00511858">
      <w:r>
        <w:br w:type="page"/>
      </w:r>
    </w:p>
    <w:sectPr w:rsidR="00CE5317" w:rsidRPr="00511858" w:rsidSect="0074126F">
      <w:footerReference w:type="default" r:id="rId20"/>
      <w:endnotePr>
        <w:numFmt w:val="decimal"/>
      </w:endnotePr>
      <w:pgSz w:w="11906" w:h="16838" w:code="9"/>
      <w:pgMar w:top="1134" w:right="1134"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8AD24E" w14:textId="77777777" w:rsidR="002C2576" w:rsidRDefault="002C2576"/>
  </w:endnote>
  <w:endnote w:type="continuationSeparator" w:id="0">
    <w:p w14:paraId="37E7B206" w14:textId="77777777" w:rsidR="002C2576" w:rsidRDefault="002C2576"/>
  </w:endnote>
  <w:endnote w:type="continuationNotice" w:id="1">
    <w:p w14:paraId="3A62992E" w14:textId="77777777" w:rsidR="002C2576" w:rsidRDefault="002C2576"/>
  </w:endnote>
  <w:endnote w:id="2">
    <w:p w14:paraId="1D25C98E" w14:textId="2A3A88FB" w:rsidR="000C08FE" w:rsidRDefault="000C08FE" w:rsidP="00805C99">
      <w:pPr>
        <w:pStyle w:val="Endnotentext"/>
      </w:pPr>
      <w:r>
        <w:t>[</w:t>
      </w:r>
      <w:r>
        <w:rPr>
          <w:rStyle w:val="Endnotenzeichen"/>
        </w:rPr>
        <w:endnoteRef/>
      </w:r>
      <w:r>
        <w:t>]</w:t>
      </w:r>
      <w:r>
        <w:tab/>
      </w:r>
      <w:r w:rsidR="00805C99">
        <w:t xml:space="preserve">Brecher C., Weck M. 2017. </w:t>
      </w:r>
      <w:r w:rsidR="00805C99">
        <w:t>Werkzeugmaschinen</w:t>
      </w:r>
      <w:r w:rsidR="00805C99">
        <w:t xml:space="preserve"> - </w:t>
      </w:r>
      <w:r w:rsidR="00805C99">
        <w:t>Fertigungssysteme 2</w:t>
      </w:r>
      <w:r w:rsidR="00805C99">
        <w:t xml:space="preserve">. </w:t>
      </w:r>
      <w:r w:rsidR="00805C99">
        <w:t>Konstruktion, Berechnung und messtechnische Beurteilung</w:t>
      </w:r>
      <w:r w:rsidR="00805C99">
        <w:t>. 9. Auflage.</w:t>
      </w:r>
      <w:r w:rsidR="00805C99" w:rsidRPr="00805C99">
        <w:t xml:space="preserve"> </w:t>
      </w:r>
      <w:r w:rsidR="00805C99">
        <w:t>Springer-Verlag GmbH Deutschland</w:t>
      </w:r>
      <w:r w:rsidR="00805C99">
        <w:t xml:space="preserve">. </w:t>
      </w:r>
      <w:r w:rsidR="00805C99" w:rsidRPr="00805C99">
        <w:t>ISBN 978-3-662-46566-0</w:t>
      </w:r>
    </w:p>
    <w:p w14:paraId="327D113B" w14:textId="77777777" w:rsidR="000C08FE" w:rsidRDefault="000C08FE">
      <w:pPr>
        <w:pStyle w:val="Endnotentext"/>
      </w:pPr>
    </w:p>
  </w:endnote>
  <w:endnote w:id="3">
    <w:p w14:paraId="265C2A4D" w14:textId="60B274D8" w:rsidR="00735979" w:rsidRDefault="00735979" w:rsidP="00735979">
      <w:pPr>
        <w:pStyle w:val="Endnotentext"/>
      </w:pPr>
      <w:r>
        <w:t>[</w:t>
      </w:r>
      <w:r>
        <w:rPr>
          <w:rStyle w:val="Endnotenzeichen"/>
        </w:rPr>
        <w:endnoteRef/>
      </w:r>
      <w:r>
        <w:t>]</w:t>
      </w:r>
      <w:r>
        <w:tab/>
        <w:t>H. Haberhauer.</w:t>
      </w:r>
      <w:r w:rsidRPr="00137AD5">
        <w:t xml:space="preserve"> </w:t>
      </w:r>
      <w:r>
        <w:t>2017. Maschinenelemente Gestaltung, Berechnung, Anwendung. 18., überarbeitete Auflage. Springer-Verlag GmbH Deutschland. ISBN 978-3-662-53047-4</w:t>
      </w:r>
    </w:p>
    <w:p w14:paraId="39397E2D" w14:textId="77777777" w:rsidR="000D4FF5" w:rsidRDefault="000D4FF5" w:rsidP="00735979">
      <w:pPr>
        <w:pStyle w:val="Endnotentext"/>
      </w:pPr>
    </w:p>
  </w:endnote>
  <w:endnote w:id="4">
    <w:p w14:paraId="77E6A937" w14:textId="0B19FA3A" w:rsidR="000D4FF5" w:rsidRDefault="000D4FF5" w:rsidP="000D4FF5">
      <w:r>
        <w:t>[</w:t>
      </w:r>
      <w:r>
        <w:rPr>
          <w:rStyle w:val="Endnotenzeichen"/>
        </w:rPr>
        <w:endnoteRef/>
      </w:r>
      <w:r>
        <w:t>]</w:t>
      </w:r>
      <w:r>
        <w:tab/>
      </w:r>
      <w:r w:rsidRPr="00A954E7">
        <w:t>https://www.ewellix.com/de/nl/produkte/linearfuhrungen/linearkugellager-und-wellen</w:t>
      </w:r>
      <w:r>
        <w:t xml:space="preserve"> </w:t>
      </w:r>
    </w:p>
    <w:p w14:paraId="6D6893B6" w14:textId="108997D6" w:rsidR="000D4FF5" w:rsidRDefault="000D4FF5" w:rsidP="000D4FF5">
      <w:pPr>
        <w:ind w:firstLine="708"/>
      </w:pPr>
      <w:r>
        <w:t>(aufgerufen am 02.05.2021)</w:t>
      </w:r>
    </w:p>
    <w:p w14:paraId="6E59C258" w14:textId="5FF7AF91" w:rsidR="000D4FF5" w:rsidRDefault="000D4FF5">
      <w:pPr>
        <w:pStyle w:val="Endnotentext"/>
      </w:pPr>
    </w:p>
  </w:endnote>
  <w:endnote w:id="5">
    <w:p w14:paraId="4BF38795" w14:textId="6628CF98" w:rsidR="00A954E7" w:rsidRDefault="00A954E7">
      <w:pPr>
        <w:pStyle w:val="Endnotentext"/>
      </w:pPr>
      <w:r>
        <w:t>[</w:t>
      </w:r>
      <w:r>
        <w:rPr>
          <w:rStyle w:val="Endnotenzeichen"/>
        </w:rPr>
        <w:endnoteRef/>
      </w:r>
      <w:r>
        <w:t>]</w:t>
      </w:r>
      <w:r>
        <w:tab/>
      </w:r>
      <w:r w:rsidRPr="00A954E7">
        <w:t>https://www.schaeffler.de/remotemedien/media/_shared_media/08_media_library/</w:t>
      </w:r>
    </w:p>
    <w:p w14:paraId="236CD26C" w14:textId="07AB4213" w:rsidR="00A954E7" w:rsidRDefault="00A954E7" w:rsidP="00A954E7">
      <w:pPr>
        <w:ind w:left="143" w:firstLine="708"/>
      </w:pPr>
      <w:r w:rsidRPr="00A954E7">
        <w:t>01_publications/schaeffler_2/catalogue_1/downloads_6/wf1_de_de.pdf</w:t>
      </w:r>
    </w:p>
    <w:p w14:paraId="6F13A76E" w14:textId="77777777" w:rsidR="00A954E7" w:rsidRDefault="00A954E7" w:rsidP="00A954E7">
      <w:pPr>
        <w:ind w:left="143" w:firstLine="708"/>
      </w:pPr>
      <w:r>
        <w:t>(aufgerufen am 02.05.2021)</w:t>
      </w:r>
    </w:p>
    <w:p w14:paraId="5A77D45A" w14:textId="77777777" w:rsidR="00A954E7" w:rsidRDefault="00A954E7" w:rsidP="00A954E7">
      <w:pPr>
        <w:pStyle w:val="Endnotentext"/>
        <w:ind w:left="0"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3171130"/>
      <w:docPartObj>
        <w:docPartGallery w:val="Page Numbers (Bottom of Page)"/>
        <w:docPartUnique/>
      </w:docPartObj>
    </w:sdtPr>
    <w:sdtEndPr/>
    <w:sdtContent>
      <w:p w14:paraId="675D7492" w14:textId="77777777" w:rsidR="00F25D8D" w:rsidRDefault="00F25D8D">
        <w:pPr>
          <w:pStyle w:val="Fuzeile"/>
          <w:jc w:val="center"/>
        </w:pPr>
        <w:r>
          <w:fldChar w:fldCharType="begin"/>
        </w:r>
        <w:r>
          <w:instrText>PAGE   \* MERGEFORMAT</w:instrText>
        </w:r>
        <w:r>
          <w:fldChar w:fldCharType="separate"/>
        </w:r>
        <w:r w:rsidR="00C0282D">
          <w:rPr>
            <w:noProof/>
          </w:rPr>
          <w:t>3</w:t>
        </w:r>
        <w:r>
          <w:fldChar w:fldCharType="end"/>
        </w:r>
      </w:p>
    </w:sdtContent>
  </w:sdt>
  <w:p w14:paraId="074DE819" w14:textId="77777777" w:rsidR="00F25D8D" w:rsidRDefault="00F25D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4B6A65" w14:textId="77777777" w:rsidR="002C2576" w:rsidRDefault="002C2576">
      <w:r>
        <w:separator/>
      </w:r>
    </w:p>
  </w:footnote>
  <w:footnote w:type="continuationSeparator" w:id="0">
    <w:p w14:paraId="5B9B9181" w14:textId="77777777" w:rsidR="002C2576" w:rsidRDefault="002C25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9516AF"/>
    <w:multiLevelType w:val="hybridMultilevel"/>
    <w:tmpl w:val="CE66C05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0727A36"/>
    <w:multiLevelType w:val="hybridMultilevel"/>
    <w:tmpl w:val="6E2E4152"/>
    <w:lvl w:ilvl="0" w:tplc="04070001">
      <w:start w:val="1"/>
      <w:numFmt w:val="bullet"/>
      <w:lvlText w:val=""/>
      <w:lvlJc w:val="left"/>
      <w:pPr>
        <w:ind w:left="1425" w:hanging="360"/>
      </w:pPr>
      <w:rPr>
        <w:rFonts w:ascii="Symbol" w:hAnsi="Symbol" w:hint="default"/>
      </w:rPr>
    </w:lvl>
    <w:lvl w:ilvl="1" w:tplc="04070003" w:tentative="1">
      <w:start w:val="1"/>
      <w:numFmt w:val="bullet"/>
      <w:lvlText w:val="o"/>
      <w:lvlJc w:val="left"/>
      <w:pPr>
        <w:ind w:left="2145" w:hanging="360"/>
      </w:pPr>
      <w:rPr>
        <w:rFonts w:ascii="Courier New" w:hAnsi="Courier New" w:cs="Courier New" w:hint="default"/>
      </w:rPr>
    </w:lvl>
    <w:lvl w:ilvl="2" w:tplc="04070005" w:tentative="1">
      <w:start w:val="1"/>
      <w:numFmt w:val="bullet"/>
      <w:lvlText w:val=""/>
      <w:lvlJc w:val="left"/>
      <w:pPr>
        <w:ind w:left="2865" w:hanging="360"/>
      </w:pPr>
      <w:rPr>
        <w:rFonts w:ascii="Wingdings" w:hAnsi="Wingdings" w:hint="default"/>
      </w:rPr>
    </w:lvl>
    <w:lvl w:ilvl="3" w:tplc="04070001" w:tentative="1">
      <w:start w:val="1"/>
      <w:numFmt w:val="bullet"/>
      <w:lvlText w:val=""/>
      <w:lvlJc w:val="left"/>
      <w:pPr>
        <w:ind w:left="3585" w:hanging="360"/>
      </w:pPr>
      <w:rPr>
        <w:rFonts w:ascii="Symbol" w:hAnsi="Symbol" w:hint="default"/>
      </w:rPr>
    </w:lvl>
    <w:lvl w:ilvl="4" w:tplc="04070003" w:tentative="1">
      <w:start w:val="1"/>
      <w:numFmt w:val="bullet"/>
      <w:lvlText w:val="o"/>
      <w:lvlJc w:val="left"/>
      <w:pPr>
        <w:ind w:left="4305" w:hanging="360"/>
      </w:pPr>
      <w:rPr>
        <w:rFonts w:ascii="Courier New" w:hAnsi="Courier New" w:cs="Courier New" w:hint="default"/>
      </w:rPr>
    </w:lvl>
    <w:lvl w:ilvl="5" w:tplc="04070005" w:tentative="1">
      <w:start w:val="1"/>
      <w:numFmt w:val="bullet"/>
      <w:lvlText w:val=""/>
      <w:lvlJc w:val="left"/>
      <w:pPr>
        <w:ind w:left="5025" w:hanging="360"/>
      </w:pPr>
      <w:rPr>
        <w:rFonts w:ascii="Wingdings" w:hAnsi="Wingdings" w:hint="default"/>
      </w:rPr>
    </w:lvl>
    <w:lvl w:ilvl="6" w:tplc="04070001" w:tentative="1">
      <w:start w:val="1"/>
      <w:numFmt w:val="bullet"/>
      <w:lvlText w:val=""/>
      <w:lvlJc w:val="left"/>
      <w:pPr>
        <w:ind w:left="5745" w:hanging="360"/>
      </w:pPr>
      <w:rPr>
        <w:rFonts w:ascii="Symbol" w:hAnsi="Symbol" w:hint="default"/>
      </w:rPr>
    </w:lvl>
    <w:lvl w:ilvl="7" w:tplc="04070003" w:tentative="1">
      <w:start w:val="1"/>
      <w:numFmt w:val="bullet"/>
      <w:lvlText w:val="o"/>
      <w:lvlJc w:val="left"/>
      <w:pPr>
        <w:ind w:left="6465" w:hanging="360"/>
      </w:pPr>
      <w:rPr>
        <w:rFonts w:ascii="Courier New" w:hAnsi="Courier New" w:cs="Courier New" w:hint="default"/>
      </w:rPr>
    </w:lvl>
    <w:lvl w:ilvl="8" w:tplc="04070005" w:tentative="1">
      <w:start w:val="1"/>
      <w:numFmt w:val="bullet"/>
      <w:lvlText w:val=""/>
      <w:lvlJc w:val="left"/>
      <w:pPr>
        <w:ind w:left="7185" w:hanging="360"/>
      </w:pPr>
      <w:rPr>
        <w:rFonts w:ascii="Wingdings" w:hAnsi="Wingdings" w:hint="default"/>
      </w:rPr>
    </w:lvl>
  </w:abstractNum>
  <w:abstractNum w:abstractNumId="2" w15:restartNumberingAfterBreak="0">
    <w:nsid w:val="36FA4ED5"/>
    <w:multiLevelType w:val="hybridMultilevel"/>
    <w:tmpl w:val="F9E442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2CF41CD"/>
    <w:multiLevelType w:val="multilevel"/>
    <w:tmpl w:val="D22C90DE"/>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4" w15:restartNumberingAfterBreak="0">
    <w:nsid w:val="43320EF4"/>
    <w:multiLevelType w:val="hybridMultilevel"/>
    <w:tmpl w:val="0848F13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5" w15:restartNumberingAfterBreak="0">
    <w:nsid w:val="67A904D1"/>
    <w:multiLevelType w:val="hybridMultilevel"/>
    <w:tmpl w:val="70481D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4"/>
  </w:num>
  <w:num w:numId="11">
    <w:abstractNumId w:val="1"/>
  </w:num>
  <w:num w:numId="12">
    <w:abstractNumId w:val="2"/>
  </w:num>
  <w:num w:numId="13">
    <w:abstractNumId w:val="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0FD"/>
    <w:rsid w:val="00052332"/>
    <w:rsid w:val="00055A3D"/>
    <w:rsid w:val="000A5738"/>
    <w:rsid w:val="000B6989"/>
    <w:rsid w:val="000C08FE"/>
    <w:rsid w:val="000C4059"/>
    <w:rsid w:val="000D43F4"/>
    <w:rsid w:val="000D4FF5"/>
    <w:rsid w:val="000E10FD"/>
    <w:rsid w:val="001161B9"/>
    <w:rsid w:val="00136E3D"/>
    <w:rsid w:val="00137AD5"/>
    <w:rsid w:val="00183E9B"/>
    <w:rsid w:val="0018588F"/>
    <w:rsid w:val="0019039B"/>
    <w:rsid w:val="001A7107"/>
    <w:rsid w:val="001B091B"/>
    <w:rsid w:val="001B65D6"/>
    <w:rsid w:val="001B7908"/>
    <w:rsid w:val="001C657D"/>
    <w:rsid w:val="001D028B"/>
    <w:rsid w:val="00211B15"/>
    <w:rsid w:val="002154AC"/>
    <w:rsid w:val="00221D9F"/>
    <w:rsid w:val="00245494"/>
    <w:rsid w:val="002477C2"/>
    <w:rsid w:val="00260959"/>
    <w:rsid w:val="00270AF2"/>
    <w:rsid w:val="00282058"/>
    <w:rsid w:val="002B0649"/>
    <w:rsid w:val="002B1B7D"/>
    <w:rsid w:val="002B3069"/>
    <w:rsid w:val="002C2576"/>
    <w:rsid w:val="002C45E8"/>
    <w:rsid w:val="002C56DF"/>
    <w:rsid w:val="002D4B5C"/>
    <w:rsid w:val="00310154"/>
    <w:rsid w:val="00361AD3"/>
    <w:rsid w:val="00363CF3"/>
    <w:rsid w:val="00366D50"/>
    <w:rsid w:val="003841FF"/>
    <w:rsid w:val="00390386"/>
    <w:rsid w:val="003B6F21"/>
    <w:rsid w:val="00414D25"/>
    <w:rsid w:val="004172D3"/>
    <w:rsid w:val="00423ACC"/>
    <w:rsid w:val="00427F00"/>
    <w:rsid w:val="00431467"/>
    <w:rsid w:val="004525B9"/>
    <w:rsid w:val="004804E1"/>
    <w:rsid w:val="0049177C"/>
    <w:rsid w:val="004D1F90"/>
    <w:rsid w:val="004D742D"/>
    <w:rsid w:val="00511858"/>
    <w:rsid w:val="0051237D"/>
    <w:rsid w:val="00537F91"/>
    <w:rsid w:val="00541738"/>
    <w:rsid w:val="00543775"/>
    <w:rsid w:val="00580BB1"/>
    <w:rsid w:val="005847F4"/>
    <w:rsid w:val="005917D8"/>
    <w:rsid w:val="005A32AB"/>
    <w:rsid w:val="005C03BF"/>
    <w:rsid w:val="005D1DA9"/>
    <w:rsid w:val="005E1E46"/>
    <w:rsid w:val="005F0D7F"/>
    <w:rsid w:val="0060228E"/>
    <w:rsid w:val="00603EDF"/>
    <w:rsid w:val="00604211"/>
    <w:rsid w:val="0060627B"/>
    <w:rsid w:val="0061182B"/>
    <w:rsid w:val="00627293"/>
    <w:rsid w:val="00662273"/>
    <w:rsid w:val="006627D6"/>
    <w:rsid w:val="00687DC1"/>
    <w:rsid w:val="006912D5"/>
    <w:rsid w:val="006949C9"/>
    <w:rsid w:val="006B6C87"/>
    <w:rsid w:val="006B7C17"/>
    <w:rsid w:val="006E04E8"/>
    <w:rsid w:val="00703007"/>
    <w:rsid w:val="007137D9"/>
    <w:rsid w:val="00715574"/>
    <w:rsid w:val="00731C3B"/>
    <w:rsid w:val="00735979"/>
    <w:rsid w:val="00735D3A"/>
    <w:rsid w:val="00737B71"/>
    <w:rsid w:val="0074126F"/>
    <w:rsid w:val="00743D6C"/>
    <w:rsid w:val="00782CAA"/>
    <w:rsid w:val="00792200"/>
    <w:rsid w:val="0079390C"/>
    <w:rsid w:val="007A2F65"/>
    <w:rsid w:val="007A4903"/>
    <w:rsid w:val="007B7A38"/>
    <w:rsid w:val="007D0FA0"/>
    <w:rsid w:val="007D7A94"/>
    <w:rsid w:val="007E39B6"/>
    <w:rsid w:val="007E52AA"/>
    <w:rsid w:val="00805C99"/>
    <w:rsid w:val="00841C79"/>
    <w:rsid w:val="00887507"/>
    <w:rsid w:val="00895826"/>
    <w:rsid w:val="008B2F9B"/>
    <w:rsid w:val="008B50D6"/>
    <w:rsid w:val="008E560C"/>
    <w:rsid w:val="008F205C"/>
    <w:rsid w:val="009000B7"/>
    <w:rsid w:val="00902EEF"/>
    <w:rsid w:val="009110B5"/>
    <w:rsid w:val="00920872"/>
    <w:rsid w:val="009343C4"/>
    <w:rsid w:val="00950BE7"/>
    <w:rsid w:val="009622ED"/>
    <w:rsid w:val="00964132"/>
    <w:rsid w:val="0097119B"/>
    <w:rsid w:val="00976C9E"/>
    <w:rsid w:val="00991888"/>
    <w:rsid w:val="009922C2"/>
    <w:rsid w:val="009C52C4"/>
    <w:rsid w:val="009D3A28"/>
    <w:rsid w:val="009F2BCF"/>
    <w:rsid w:val="009F6815"/>
    <w:rsid w:val="00A02FCC"/>
    <w:rsid w:val="00A34573"/>
    <w:rsid w:val="00A367BE"/>
    <w:rsid w:val="00A5529C"/>
    <w:rsid w:val="00A61D3E"/>
    <w:rsid w:val="00A62465"/>
    <w:rsid w:val="00A76699"/>
    <w:rsid w:val="00A954E7"/>
    <w:rsid w:val="00AB589D"/>
    <w:rsid w:val="00AD4D84"/>
    <w:rsid w:val="00AE0A53"/>
    <w:rsid w:val="00AE62F7"/>
    <w:rsid w:val="00AE6866"/>
    <w:rsid w:val="00AF2700"/>
    <w:rsid w:val="00B141C4"/>
    <w:rsid w:val="00B20E9B"/>
    <w:rsid w:val="00B2680E"/>
    <w:rsid w:val="00B36694"/>
    <w:rsid w:val="00B5182B"/>
    <w:rsid w:val="00B564E2"/>
    <w:rsid w:val="00B7071D"/>
    <w:rsid w:val="00BC1023"/>
    <w:rsid w:val="00BC27BD"/>
    <w:rsid w:val="00BD5225"/>
    <w:rsid w:val="00C0282D"/>
    <w:rsid w:val="00C17247"/>
    <w:rsid w:val="00C23B80"/>
    <w:rsid w:val="00C31661"/>
    <w:rsid w:val="00C467B7"/>
    <w:rsid w:val="00C539F4"/>
    <w:rsid w:val="00C60909"/>
    <w:rsid w:val="00C9539D"/>
    <w:rsid w:val="00C953B0"/>
    <w:rsid w:val="00CE28EE"/>
    <w:rsid w:val="00CE5317"/>
    <w:rsid w:val="00D53E6B"/>
    <w:rsid w:val="00D55DFB"/>
    <w:rsid w:val="00D76397"/>
    <w:rsid w:val="00D8539F"/>
    <w:rsid w:val="00DA379C"/>
    <w:rsid w:val="00DE7A72"/>
    <w:rsid w:val="00E0173C"/>
    <w:rsid w:val="00E207AE"/>
    <w:rsid w:val="00E542A4"/>
    <w:rsid w:val="00E76598"/>
    <w:rsid w:val="00EA3534"/>
    <w:rsid w:val="00EA45F7"/>
    <w:rsid w:val="00ED5D96"/>
    <w:rsid w:val="00EE612F"/>
    <w:rsid w:val="00EF5E6A"/>
    <w:rsid w:val="00F04851"/>
    <w:rsid w:val="00F1613D"/>
    <w:rsid w:val="00F24AEC"/>
    <w:rsid w:val="00F25D8D"/>
    <w:rsid w:val="00F26407"/>
    <w:rsid w:val="00F71151"/>
    <w:rsid w:val="00F87707"/>
    <w:rsid w:val="00FA2689"/>
    <w:rsid w:val="00FB1A4C"/>
    <w:rsid w:val="00FB3D0E"/>
    <w:rsid w:val="00FC3D06"/>
    <w:rsid w:val="00FD2963"/>
    <w:rsid w:val="00FF328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7B45C6"/>
  <w15:docId w15:val="{85BE5A31-F0ED-4892-A9BD-34825FE63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Times New Roman"/>
        <w:sz w:val="22"/>
        <w:szCs w:val="22"/>
        <w:lang w:val="de-DE" w:eastAsia="de-DE" w:bidi="ar-SA"/>
      </w:rPr>
    </w:rPrDefault>
    <w:pPrDefault>
      <w:pPr>
        <w:spacing w:line="360"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21D9F"/>
  </w:style>
  <w:style w:type="paragraph" w:styleId="berschrift1">
    <w:name w:val="heading 1"/>
    <w:basedOn w:val="Standard"/>
    <w:next w:val="Standard"/>
    <w:qFormat/>
    <w:pPr>
      <w:keepNext/>
      <w:numPr>
        <w:numId w:val="1"/>
      </w:numPr>
      <w:tabs>
        <w:tab w:val="clear" w:pos="432"/>
        <w:tab w:val="num" w:pos="426"/>
      </w:tabs>
      <w:spacing w:before="120" w:after="60"/>
      <w:ind w:left="426" w:hanging="426"/>
      <w:outlineLvl w:val="0"/>
    </w:pPr>
    <w:rPr>
      <w:b/>
      <w:kern w:val="28"/>
      <w:sz w:val="24"/>
    </w:rPr>
  </w:style>
  <w:style w:type="paragraph" w:styleId="berschrift2">
    <w:name w:val="heading 2"/>
    <w:basedOn w:val="Standard"/>
    <w:next w:val="Standard"/>
    <w:qFormat/>
    <w:pPr>
      <w:keepNext/>
      <w:numPr>
        <w:ilvl w:val="1"/>
        <w:numId w:val="2"/>
      </w:numPr>
      <w:spacing w:before="120" w:after="60"/>
      <w:outlineLvl w:val="1"/>
    </w:pPr>
    <w:rPr>
      <w:b/>
      <w:sz w:val="24"/>
    </w:rPr>
  </w:style>
  <w:style w:type="paragraph" w:styleId="berschrift3">
    <w:name w:val="heading 3"/>
    <w:basedOn w:val="Standard"/>
    <w:next w:val="Standard"/>
    <w:qFormat/>
    <w:pPr>
      <w:keepNext/>
      <w:numPr>
        <w:ilvl w:val="2"/>
        <w:numId w:val="3"/>
      </w:numPr>
      <w:spacing w:before="120" w:after="60"/>
      <w:outlineLvl w:val="2"/>
    </w:pPr>
    <w:rPr>
      <w:b/>
      <w:sz w:val="24"/>
    </w:rPr>
  </w:style>
  <w:style w:type="paragraph" w:styleId="berschrift4">
    <w:name w:val="heading 4"/>
    <w:basedOn w:val="Standard"/>
    <w:next w:val="Standard"/>
    <w:qFormat/>
    <w:pPr>
      <w:keepNext/>
      <w:numPr>
        <w:ilvl w:val="3"/>
        <w:numId w:val="4"/>
      </w:numPr>
      <w:tabs>
        <w:tab w:val="clear" w:pos="864"/>
        <w:tab w:val="num" w:pos="993"/>
      </w:tabs>
      <w:spacing w:before="120" w:after="60"/>
      <w:ind w:left="993" w:hanging="993"/>
      <w:outlineLvl w:val="3"/>
    </w:pPr>
    <w:rPr>
      <w:b/>
      <w:sz w:val="24"/>
    </w:rPr>
  </w:style>
  <w:style w:type="paragraph" w:styleId="berschrift5">
    <w:name w:val="heading 5"/>
    <w:basedOn w:val="Standard"/>
    <w:next w:val="Standard"/>
    <w:qFormat/>
    <w:pPr>
      <w:numPr>
        <w:ilvl w:val="4"/>
        <w:numId w:val="5"/>
      </w:numPr>
      <w:tabs>
        <w:tab w:val="clear" w:pos="1008"/>
        <w:tab w:val="num" w:pos="1134"/>
      </w:tabs>
      <w:spacing w:before="120" w:after="60"/>
      <w:ind w:left="1134" w:hanging="1134"/>
      <w:outlineLvl w:val="4"/>
    </w:pPr>
    <w:rPr>
      <w:b/>
      <w:sz w:val="24"/>
    </w:rPr>
  </w:style>
  <w:style w:type="paragraph" w:styleId="berschrift6">
    <w:name w:val="heading 6"/>
    <w:basedOn w:val="Standard"/>
    <w:next w:val="Standard"/>
    <w:qFormat/>
    <w:pPr>
      <w:numPr>
        <w:ilvl w:val="5"/>
        <w:numId w:val="6"/>
      </w:numPr>
      <w:tabs>
        <w:tab w:val="clear" w:pos="1152"/>
        <w:tab w:val="num" w:pos="1276"/>
      </w:tabs>
      <w:spacing w:before="120" w:after="60"/>
      <w:ind w:left="1276" w:hanging="1276"/>
      <w:outlineLvl w:val="5"/>
    </w:pPr>
    <w:rPr>
      <w:b/>
      <w:sz w:val="24"/>
    </w:rPr>
  </w:style>
  <w:style w:type="paragraph" w:styleId="berschrift7">
    <w:name w:val="heading 7"/>
    <w:basedOn w:val="Standard"/>
    <w:next w:val="Standard"/>
    <w:qFormat/>
    <w:pPr>
      <w:numPr>
        <w:ilvl w:val="6"/>
        <w:numId w:val="7"/>
      </w:numPr>
      <w:tabs>
        <w:tab w:val="clear" w:pos="1296"/>
        <w:tab w:val="num" w:pos="1560"/>
      </w:tabs>
      <w:spacing w:before="120" w:after="60"/>
      <w:ind w:left="1559" w:hanging="1559"/>
      <w:outlineLvl w:val="6"/>
    </w:pPr>
    <w:rPr>
      <w:b/>
      <w:sz w:val="24"/>
    </w:rPr>
  </w:style>
  <w:style w:type="paragraph" w:styleId="berschrift8">
    <w:name w:val="heading 8"/>
    <w:basedOn w:val="Standard"/>
    <w:next w:val="Standard"/>
    <w:qFormat/>
    <w:pPr>
      <w:numPr>
        <w:ilvl w:val="7"/>
        <w:numId w:val="8"/>
      </w:numPr>
      <w:tabs>
        <w:tab w:val="clear" w:pos="1440"/>
        <w:tab w:val="num" w:pos="1701"/>
      </w:tabs>
      <w:spacing w:before="120" w:after="60"/>
      <w:ind w:left="1701" w:hanging="1701"/>
      <w:outlineLvl w:val="7"/>
    </w:pPr>
    <w:rPr>
      <w:b/>
      <w:sz w:val="24"/>
    </w:rPr>
  </w:style>
  <w:style w:type="paragraph" w:styleId="berschrift9">
    <w:name w:val="heading 9"/>
    <w:basedOn w:val="Standard"/>
    <w:next w:val="Standard"/>
    <w:qFormat/>
    <w:pPr>
      <w:numPr>
        <w:ilvl w:val="8"/>
        <w:numId w:val="9"/>
      </w:numPr>
      <w:tabs>
        <w:tab w:val="clear" w:pos="1584"/>
        <w:tab w:val="num" w:pos="1843"/>
      </w:tabs>
      <w:spacing w:before="120" w:after="60"/>
      <w:ind w:left="1843" w:hanging="1843"/>
      <w:outlineLvl w:val="8"/>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semiHidden/>
    <w:pPr>
      <w:tabs>
        <w:tab w:val="left" w:pos="1418"/>
        <w:tab w:val="right" w:leader="dot" w:pos="9345"/>
      </w:tabs>
      <w:ind w:left="1418" w:hanging="1418"/>
    </w:pPr>
    <w:rPr>
      <w:sz w:val="20"/>
    </w:rPr>
  </w:style>
  <w:style w:type="paragraph" w:styleId="Beschriftung">
    <w:name w:val="caption"/>
    <w:basedOn w:val="Standard"/>
    <w:next w:val="Standard"/>
    <w:qFormat/>
    <w:rsid w:val="00B20E9B"/>
    <w:pPr>
      <w:spacing w:before="100" w:beforeAutospacing="1" w:after="100" w:afterAutospacing="1"/>
    </w:pPr>
    <w:rPr>
      <w:i/>
      <w:sz w:val="20"/>
    </w:rPr>
  </w:style>
  <w:style w:type="paragraph" w:styleId="Endnotentext">
    <w:name w:val="endnote text"/>
    <w:basedOn w:val="Standard"/>
    <w:semiHidden/>
    <w:pPr>
      <w:ind w:left="851" w:hanging="851"/>
    </w:pPr>
  </w:style>
  <w:style w:type="character" w:styleId="Endnotenzeichen">
    <w:name w:val="endnote reference"/>
    <w:semiHidden/>
    <w:rPr>
      <w:rFonts w:ascii="Arial" w:hAnsi="Arial"/>
      <w:sz w:val="20"/>
    </w:rPr>
  </w:style>
  <w:style w:type="paragraph" w:styleId="Fuzeile">
    <w:name w:val="footer"/>
    <w:basedOn w:val="Standard"/>
    <w:link w:val="FuzeileZchn"/>
    <w:uiPriority w:val="99"/>
    <w:pPr>
      <w:tabs>
        <w:tab w:val="center" w:pos="4536"/>
        <w:tab w:val="right" w:pos="9072"/>
      </w:tabs>
    </w:pPr>
  </w:style>
  <w:style w:type="paragraph" w:styleId="Kopfzeile">
    <w:name w:val="header"/>
    <w:basedOn w:val="Standard"/>
    <w:pPr>
      <w:tabs>
        <w:tab w:val="center" w:pos="4536"/>
        <w:tab w:val="right" w:pos="9072"/>
      </w:tabs>
    </w:pPr>
  </w:style>
  <w:style w:type="paragraph" w:styleId="Verzeichnis1">
    <w:name w:val="toc 1"/>
    <w:basedOn w:val="Standard"/>
    <w:next w:val="Standard"/>
    <w:autoRedefine/>
    <w:uiPriority w:val="39"/>
    <w:rsid w:val="00A34573"/>
    <w:pPr>
      <w:tabs>
        <w:tab w:val="left" w:pos="440"/>
        <w:tab w:val="right" w:leader="dot" w:pos="9345"/>
      </w:tabs>
      <w:spacing w:before="120" w:after="60"/>
    </w:pPr>
    <w:rPr>
      <w:noProof/>
      <w:sz w:val="24"/>
    </w:rPr>
  </w:style>
  <w:style w:type="paragraph" w:styleId="Verzeichnis2">
    <w:name w:val="toc 2"/>
    <w:basedOn w:val="Standard"/>
    <w:next w:val="Standard"/>
    <w:autoRedefine/>
    <w:uiPriority w:val="39"/>
    <w:pPr>
      <w:tabs>
        <w:tab w:val="left" w:pos="660"/>
        <w:tab w:val="right" w:leader="dot" w:pos="9345"/>
      </w:tabs>
      <w:ind w:left="220"/>
    </w:pPr>
    <w:rPr>
      <w:noProof/>
    </w:rPr>
  </w:style>
  <w:style w:type="paragraph" w:styleId="Verzeichnis3">
    <w:name w:val="toc 3"/>
    <w:basedOn w:val="Standard"/>
    <w:next w:val="Standard"/>
    <w:autoRedefine/>
    <w:semiHidden/>
    <w:pPr>
      <w:tabs>
        <w:tab w:val="left" w:pos="1100"/>
        <w:tab w:val="right" w:leader="dot" w:pos="9345"/>
      </w:tabs>
      <w:ind w:left="440"/>
    </w:pPr>
    <w:rPr>
      <w:noProof/>
    </w:rPr>
  </w:style>
  <w:style w:type="paragraph" w:styleId="Verzeichnis4">
    <w:name w:val="toc 4"/>
    <w:basedOn w:val="Standard"/>
    <w:next w:val="Standard"/>
    <w:autoRedefine/>
    <w:semiHidden/>
    <w:pPr>
      <w:tabs>
        <w:tab w:val="left" w:pos="1540"/>
        <w:tab w:val="right" w:leader="dot" w:pos="9345"/>
      </w:tabs>
      <w:ind w:left="660"/>
    </w:pPr>
    <w:rPr>
      <w:noProof/>
    </w:rPr>
  </w:style>
  <w:style w:type="paragraph" w:styleId="Verzeichnis5">
    <w:name w:val="toc 5"/>
    <w:basedOn w:val="Standard"/>
    <w:next w:val="Standard"/>
    <w:autoRedefine/>
    <w:semiHidden/>
    <w:pPr>
      <w:tabs>
        <w:tab w:val="left" w:pos="1985"/>
        <w:tab w:val="right" w:leader="dot" w:pos="9345"/>
      </w:tabs>
      <w:ind w:left="879"/>
    </w:pPr>
    <w:rPr>
      <w:noProof/>
    </w:rPr>
  </w:style>
  <w:style w:type="paragraph" w:styleId="Verzeichnis6">
    <w:name w:val="toc 6"/>
    <w:basedOn w:val="Standard"/>
    <w:next w:val="Standard"/>
    <w:autoRedefine/>
    <w:semiHidden/>
    <w:pPr>
      <w:tabs>
        <w:tab w:val="left" w:pos="2410"/>
        <w:tab w:val="right" w:leader="dot" w:pos="9345"/>
      </w:tabs>
      <w:ind w:left="1100"/>
    </w:pPr>
    <w:rPr>
      <w:noProof/>
    </w:rPr>
  </w:style>
  <w:style w:type="paragraph" w:styleId="Verzeichnis7">
    <w:name w:val="toc 7"/>
    <w:basedOn w:val="Standard"/>
    <w:next w:val="Standard"/>
    <w:autoRedefine/>
    <w:semiHidden/>
    <w:pPr>
      <w:tabs>
        <w:tab w:val="left" w:pos="2835"/>
        <w:tab w:val="right" w:leader="dot" w:pos="9345"/>
      </w:tabs>
      <w:ind w:left="1320"/>
    </w:pPr>
    <w:rPr>
      <w:noProof/>
    </w:rPr>
  </w:style>
  <w:style w:type="paragraph" w:styleId="Verzeichnis8">
    <w:name w:val="toc 8"/>
    <w:basedOn w:val="Standard"/>
    <w:next w:val="Standard"/>
    <w:autoRedefine/>
    <w:semiHidden/>
    <w:pPr>
      <w:tabs>
        <w:tab w:val="left" w:pos="3261"/>
        <w:tab w:val="right" w:leader="dot" w:pos="9345"/>
      </w:tabs>
      <w:ind w:left="1540"/>
    </w:pPr>
    <w:rPr>
      <w:noProof/>
    </w:rPr>
  </w:style>
  <w:style w:type="paragraph" w:styleId="Verzeichnis9">
    <w:name w:val="toc 9"/>
    <w:basedOn w:val="Standard"/>
    <w:next w:val="Standard"/>
    <w:autoRedefine/>
    <w:semiHidden/>
    <w:pPr>
      <w:tabs>
        <w:tab w:val="left" w:pos="3544"/>
        <w:tab w:val="right" w:leader="dot" w:pos="9345"/>
      </w:tabs>
      <w:ind w:left="1760"/>
    </w:pPr>
    <w:rPr>
      <w:noProof/>
    </w:rPr>
  </w:style>
  <w:style w:type="paragraph" w:customStyle="1" w:styleId="Formatvorlageberschrift112pt">
    <w:name w:val="Formatvorlage Überschrift 1 + 12 pt"/>
    <w:basedOn w:val="berschrift1"/>
    <w:autoRedefine/>
    <w:rsid w:val="009D3A28"/>
    <w:pPr>
      <w:pageBreakBefore/>
      <w:numPr>
        <w:numId w:val="0"/>
      </w:numPr>
      <w:tabs>
        <w:tab w:val="left" w:pos="851"/>
      </w:tabs>
      <w:spacing w:before="0" w:after="120"/>
    </w:pPr>
    <w:rPr>
      <w:bCs/>
      <w:kern w:val="0"/>
    </w:rPr>
  </w:style>
  <w:style w:type="paragraph" w:styleId="Sprechblasentext">
    <w:name w:val="Balloon Text"/>
    <w:basedOn w:val="Standard"/>
    <w:link w:val="SprechblasentextZchn"/>
    <w:rsid w:val="007E39B6"/>
    <w:rPr>
      <w:rFonts w:ascii="Tahoma" w:hAnsi="Tahoma" w:cs="Tahoma"/>
      <w:sz w:val="16"/>
      <w:szCs w:val="16"/>
    </w:rPr>
  </w:style>
  <w:style w:type="character" w:customStyle="1" w:styleId="SprechblasentextZchn">
    <w:name w:val="Sprechblasentext Zchn"/>
    <w:basedOn w:val="Absatz-Standardschriftart"/>
    <w:link w:val="Sprechblasentext"/>
    <w:rsid w:val="007E39B6"/>
    <w:rPr>
      <w:rFonts w:ascii="Tahoma" w:hAnsi="Tahoma" w:cs="Tahoma"/>
      <w:sz w:val="16"/>
      <w:szCs w:val="16"/>
    </w:rPr>
  </w:style>
  <w:style w:type="paragraph" w:styleId="Listenabsatz">
    <w:name w:val="List Paragraph"/>
    <w:basedOn w:val="Standard"/>
    <w:uiPriority w:val="34"/>
    <w:rsid w:val="006912D5"/>
    <w:pPr>
      <w:ind w:left="720"/>
      <w:contextualSpacing/>
    </w:pPr>
  </w:style>
  <w:style w:type="table" w:styleId="Tabellenraster">
    <w:name w:val="Table Grid"/>
    <w:basedOn w:val="NormaleTabelle"/>
    <w:rsid w:val="00537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841C79"/>
    <w:rPr>
      <w:color w:val="0563C1" w:themeColor="hyperlink"/>
      <w:u w:val="single"/>
    </w:rPr>
  </w:style>
  <w:style w:type="character" w:customStyle="1" w:styleId="FuzeileZchn">
    <w:name w:val="Fußzeile Zchn"/>
    <w:basedOn w:val="Absatz-Standardschriftart"/>
    <w:link w:val="Fuzeile"/>
    <w:uiPriority w:val="99"/>
    <w:rsid w:val="00841C79"/>
    <w:rPr>
      <w:rFonts w:ascii="Arial" w:hAnsi="Arial"/>
      <w:sz w:val="22"/>
    </w:rPr>
  </w:style>
  <w:style w:type="character" w:styleId="NichtaufgelsteErwhnung">
    <w:name w:val="Unresolved Mention"/>
    <w:basedOn w:val="Absatz-Standardschriftart"/>
    <w:uiPriority w:val="99"/>
    <w:semiHidden/>
    <w:unhideWhenUsed/>
    <w:rsid w:val="00964132"/>
    <w:rPr>
      <w:color w:val="605E5C"/>
      <w:shd w:val="clear" w:color="auto" w:fill="E1DFDD"/>
    </w:rPr>
  </w:style>
  <w:style w:type="character" w:styleId="BesuchterLink">
    <w:name w:val="FollowedHyperlink"/>
    <w:basedOn w:val="Absatz-Standardschriftart"/>
    <w:semiHidden/>
    <w:unhideWhenUsed/>
    <w:rsid w:val="000D4F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Excel_Worksheet.xlsx"/><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920D5-5289-4D07-9064-5AAEDAD14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720</Words>
  <Characters>4538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Normalvorlage</vt:lpstr>
    </vt:vector>
  </TitlesOfParts>
  <Manager>Dr.-Ing. Steffen Keitel</Manager>
  <Company>SLV Halle GmbH</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Normalvorlage</dc:title>
  <dc:subject>Erstellung allgemeiner Texte</dc:subject>
  <dc:creator>René Fenzl</dc:creator>
  <cp:keywords/>
  <cp:lastModifiedBy>ms679413</cp:lastModifiedBy>
  <cp:revision>17</cp:revision>
  <dcterms:created xsi:type="dcterms:W3CDTF">2020-07-31T10:08:00Z</dcterms:created>
  <dcterms:modified xsi:type="dcterms:W3CDTF">2021-05-04T20:50:00Z</dcterms:modified>
  <cp:category>Geschäftsvorlage</cp:category>
</cp:coreProperties>
</file>