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7F1" w:rsidRPr="00EC17F1" w:rsidRDefault="00EC17F1" w:rsidP="00EC17F1">
      <w:pPr>
        <w:spacing w:before="100" w:beforeAutospacing="1" w:after="100" w:afterAutospacing="1" w:line="240" w:lineRule="auto"/>
        <w:outlineLvl w:val="1"/>
        <w:rPr>
          <w:rFonts w:ascii="Times New Roman" w:eastAsia="Times New Roman" w:hAnsi="Times New Roman" w:cs="Times New Roman"/>
          <w:b/>
          <w:bCs/>
          <w:sz w:val="24"/>
          <w:szCs w:val="24"/>
          <w:lang w:val="ru-RU" w:eastAsia="de-DE"/>
        </w:rPr>
      </w:pPr>
      <w:hyperlink r:id="rId6" w:tooltip="Постоянная ссылка на Религия – это стоматология (первая уличная акция)" w:history="1">
        <w:r w:rsidRPr="00EC17F1">
          <w:rPr>
            <w:rFonts w:ascii="Times New Roman" w:eastAsia="Times New Roman" w:hAnsi="Times New Roman" w:cs="Times New Roman"/>
            <w:b/>
            <w:bCs/>
            <w:color w:val="0000FF"/>
            <w:sz w:val="24"/>
            <w:szCs w:val="24"/>
            <w:u w:val="single"/>
            <w:lang w:val="ru-RU" w:eastAsia="de-DE"/>
          </w:rPr>
          <w:t>Религия – это</w:t>
        </w:r>
        <w:r w:rsidRPr="00EC17F1">
          <w:rPr>
            <w:rFonts w:ascii="Times New Roman" w:eastAsia="Times New Roman" w:hAnsi="Times New Roman" w:cs="Times New Roman"/>
            <w:b/>
            <w:bCs/>
            <w:color w:val="0000FF"/>
            <w:sz w:val="24"/>
            <w:szCs w:val="24"/>
            <w:u w:val="single"/>
            <w:lang w:eastAsia="de-DE"/>
          </w:rPr>
          <w:t> </w:t>
        </w:r>
        <w:r w:rsidRPr="00EC17F1">
          <w:rPr>
            <w:rFonts w:ascii="Times New Roman" w:eastAsia="Times New Roman" w:hAnsi="Times New Roman" w:cs="Times New Roman"/>
            <w:b/>
            <w:bCs/>
            <w:color w:val="0000FF"/>
            <w:sz w:val="24"/>
            <w:szCs w:val="24"/>
            <w:u w:val="single"/>
            <w:lang w:val="ru-RU" w:eastAsia="de-DE"/>
          </w:rPr>
          <w:t>стоматология</w:t>
        </w:r>
      </w:hyperlink>
    </w:p>
    <w:p w:rsidR="00EC17F1" w:rsidRPr="00EC17F1" w:rsidRDefault="00EC17F1" w:rsidP="00EC17F1">
      <w:pPr>
        <w:pStyle w:val="StandardWeb"/>
        <w:rPr>
          <w:lang w:val="ru-RU"/>
        </w:rPr>
      </w:pPr>
      <w:r w:rsidRPr="00EC17F1">
        <w:rPr>
          <w:lang w:val="ru-RU"/>
        </w:rPr>
        <w:t>Первая уличная акция состоялась 11 мая 2008 на паперти Казанского Собора и включала в себя чтение абсурдистских стихов в мегафон, пластику и раздачу листовок. Она была направлена как против имущественных и культурных претензий РПЦ (которые снова активизировались в связи с историей предъявления Русской Правосоавной Церковью имущественных претензий к РГГУ и продолжительным процессом лоббирования религиозного воспитания в учебных заведениях), так и была направлена на возвращение публичности стремительно сужающемуся публичному пространству.</w:t>
      </w:r>
    </w:p>
    <w:p w:rsidR="00EC17F1" w:rsidRPr="00EC17F1" w:rsidRDefault="00EC17F1" w:rsidP="00EC17F1">
      <w:pPr>
        <w:pStyle w:val="StandardWeb"/>
        <w:rPr>
          <w:lang w:val="ru-RU"/>
        </w:rPr>
      </w:pPr>
      <w:r w:rsidRPr="00EC17F1">
        <w:rPr>
          <w:lang w:val="ru-RU"/>
        </w:rPr>
        <w:t>Сама композиция Казанской площади и архитектура собора располагали к политическому действию</w:t>
      </w:r>
      <w:r w:rsidRPr="00EC17F1">
        <w:t> </w:t>
      </w:r>
      <w:r w:rsidRPr="00EC17F1">
        <w:rPr>
          <w:lang w:val="ru-RU"/>
        </w:rPr>
        <w:t xml:space="preserve"> со времен Плеханова. В феврале 1917 года именно к Казанскому собору приходят бастующие текстильщицы с Выборгской стороны (когда на тех выпускают казаков, которых в городе всегда не любили). Именно эти собор и площадь, расположенные на центральном проспекте потребления, ареала света и полусвета, в пространстве классового врага, стяжают славу отправной точки революции. В 90-е года, нынче порицаемые при каждом удобном, ступени Казанского собора также служили демократической площадкой для сбора самых различных групп, были своеобразной агорой.</w:t>
      </w:r>
    </w:p>
    <w:p w:rsidR="00EC17F1" w:rsidRPr="00EC17F1" w:rsidRDefault="00EC17F1" w:rsidP="00EC17F1">
      <w:pPr>
        <w:pStyle w:val="StandardWeb"/>
        <w:rPr>
          <w:lang w:val="ru-RU"/>
        </w:rPr>
      </w:pPr>
      <w:r w:rsidRPr="00EC17F1">
        <w:rPr>
          <w:lang w:val="ru-RU"/>
        </w:rPr>
        <w:t>Сегодня и собор и площадь обнесены решеткой. Городское пространство хотя бы на примере этого исторического места все больше начинает походить на туннели для циркуляции атомизированных индивидов от одного торгового центра к другому, чисто технически исключая саму возможность коллективного действия, шествия, собрания.</w:t>
      </w:r>
    </w:p>
    <w:p w:rsidR="00EC17F1" w:rsidRPr="00EC17F1" w:rsidRDefault="00EC17F1" w:rsidP="00EC17F1">
      <w:pPr>
        <w:pStyle w:val="StandardWeb"/>
        <w:rPr>
          <w:lang w:val="ru-RU"/>
        </w:rPr>
      </w:pPr>
      <w:r w:rsidRPr="00EC17F1">
        <w:rPr>
          <w:lang w:val="ru-RU"/>
        </w:rPr>
        <w:t>Мы не заводим плач о разрушении старинных дворцов. Мы создаем новую разметку городского пространства, не обусловленную топографией новых дворцов консьюмеризма.</w:t>
      </w:r>
    </w:p>
    <w:p w:rsidR="00EC17F1" w:rsidRPr="00EC17F1" w:rsidRDefault="00EC17F1" w:rsidP="00EC17F1">
      <w:pPr>
        <w:pStyle w:val="StandardWeb"/>
        <w:rPr>
          <w:lang w:val="ru-RU"/>
        </w:rPr>
      </w:pPr>
      <w:r w:rsidRPr="00EC17F1">
        <w:rPr>
          <w:lang w:val="ru-RU"/>
        </w:rPr>
        <w:t>В акции также участвовали: активисты ДСПА и театр танца «Верхотура»</w:t>
      </w:r>
    </w:p>
    <w:p w:rsidR="00EC17F1" w:rsidRPr="00EC17F1" w:rsidRDefault="00EC17F1" w:rsidP="00EC17F1">
      <w:pPr>
        <w:pStyle w:val="StandardWeb"/>
        <w:rPr>
          <w:lang w:val="ru-RU"/>
        </w:rPr>
      </w:pPr>
      <w:r w:rsidRPr="00EC17F1">
        <w:rPr>
          <w:lang w:val="ru-RU"/>
        </w:rPr>
        <w:t>Во время акции раздавалась листовка следующего содержания:</w:t>
      </w:r>
    </w:p>
    <w:p w:rsidR="00EC17F1" w:rsidRPr="00EC17F1" w:rsidRDefault="00EC17F1" w:rsidP="00EC17F1">
      <w:pPr>
        <w:pStyle w:val="StandardWeb"/>
        <w:rPr>
          <w:lang w:val="ru-RU"/>
        </w:rPr>
      </w:pPr>
      <w:r w:rsidRPr="00EC17F1">
        <w:rPr>
          <w:rStyle w:val="Fett"/>
          <w:lang w:val="ru-RU"/>
        </w:rPr>
        <w:t>Священное негодование как форма борьбы с гуманитарным знанием?</w:t>
      </w:r>
    </w:p>
    <w:p w:rsidR="00EC17F1" w:rsidRPr="00EC17F1" w:rsidRDefault="00EC17F1" w:rsidP="00EC17F1">
      <w:pPr>
        <w:pStyle w:val="StandardWeb"/>
        <w:rPr>
          <w:lang w:val="ru-RU"/>
        </w:rPr>
      </w:pPr>
      <w:r w:rsidRPr="00EC17F1">
        <w:rPr>
          <w:lang w:val="ru-RU"/>
        </w:rPr>
        <w:t xml:space="preserve">— </w:t>
      </w:r>
      <w:r w:rsidRPr="00EC17F1">
        <w:t> </w:t>
      </w:r>
      <w:r w:rsidRPr="00EC17F1">
        <w:rPr>
          <w:lang w:val="ru-RU"/>
        </w:rPr>
        <w:t xml:space="preserve"> </w:t>
      </w:r>
      <w:r w:rsidRPr="00EC17F1">
        <w:t> </w:t>
      </w:r>
      <w:r w:rsidRPr="00EC17F1">
        <w:rPr>
          <w:lang w:val="ru-RU"/>
        </w:rPr>
        <w:t xml:space="preserve"> </w:t>
      </w:r>
      <w:r w:rsidRPr="00EC17F1">
        <w:t> </w:t>
      </w:r>
      <w:r w:rsidRPr="00EC17F1">
        <w:rPr>
          <w:lang w:val="ru-RU"/>
        </w:rPr>
        <w:t xml:space="preserve"> </w:t>
      </w:r>
      <w:r w:rsidRPr="00EC17F1">
        <w:t> </w:t>
      </w:r>
      <w:r w:rsidRPr="00EC17F1">
        <w:rPr>
          <w:lang w:val="ru-RU"/>
        </w:rPr>
        <w:t xml:space="preserve"> На протяжении уже нескольких лет в учебных заведениях страны вводится православное воспитание. Это противоречит как светскому статусу государственного образования, так и широко тиражируемому тезису о веротерпимости в многоконфессиональной стране.</w:t>
      </w:r>
    </w:p>
    <w:p w:rsidR="00EC17F1" w:rsidRPr="00EC17F1" w:rsidRDefault="00EC17F1" w:rsidP="00EC17F1">
      <w:pPr>
        <w:pStyle w:val="StandardWeb"/>
        <w:rPr>
          <w:lang w:val="ru-RU"/>
        </w:rPr>
      </w:pPr>
      <w:r w:rsidRPr="00EC17F1">
        <w:rPr>
          <w:lang w:val="ru-RU"/>
        </w:rPr>
        <w:t xml:space="preserve">— </w:t>
      </w:r>
      <w:r w:rsidRPr="00EC17F1">
        <w:t> </w:t>
      </w:r>
      <w:r w:rsidRPr="00EC17F1">
        <w:rPr>
          <w:lang w:val="ru-RU"/>
        </w:rPr>
        <w:t xml:space="preserve"> </w:t>
      </w:r>
      <w:r w:rsidRPr="00EC17F1">
        <w:t> </w:t>
      </w:r>
      <w:r w:rsidRPr="00EC17F1">
        <w:rPr>
          <w:lang w:val="ru-RU"/>
        </w:rPr>
        <w:t xml:space="preserve"> </w:t>
      </w:r>
      <w:r w:rsidRPr="00EC17F1">
        <w:t> </w:t>
      </w:r>
      <w:r w:rsidRPr="00EC17F1">
        <w:rPr>
          <w:lang w:val="ru-RU"/>
        </w:rPr>
        <w:t xml:space="preserve"> </w:t>
      </w:r>
      <w:r w:rsidRPr="00EC17F1">
        <w:t> </w:t>
      </w:r>
      <w:r w:rsidRPr="00EC17F1">
        <w:rPr>
          <w:lang w:val="ru-RU"/>
        </w:rPr>
        <w:t xml:space="preserve"> Русская православная церковь предъявила имущественные права Российскому Государственному Гуманитарному Университету. Аудитории оказались монастырскими владениями. Суд удовлетворил требования истца и вот в апреле 2008 года в учебное заведение являются не только судебные приставы, но и отряд казаков, исполненных священного негодования. Если с Нового времени церковь мыслила своим основным врагом естественнонаучное знание, то сегодня священное негодование направляется на знание гуманитарное.</w:t>
      </w:r>
    </w:p>
    <w:p w:rsidR="00EC17F1" w:rsidRPr="00EC17F1" w:rsidRDefault="00EC17F1" w:rsidP="00EC17F1">
      <w:pPr>
        <w:pStyle w:val="StandardWeb"/>
        <w:rPr>
          <w:lang w:val="ru-RU"/>
        </w:rPr>
      </w:pPr>
      <w:r w:rsidRPr="00EC17F1">
        <w:rPr>
          <w:lang w:val="ru-RU"/>
        </w:rPr>
        <w:lastRenderedPageBreak/>
        <w:t>Нужно сказать, что сегодня церковь давно выступает в роли субъекта недвижимости, а не «субъекта духа». Церковь будто не претендует на многое, а смиряется со статусом отдельного игрока в коммерческом поле.</w:t>
      </w:r>
    </w:p>
    <w:p w:rsidR="00EC17F1" w:rsidRPr="00EC17F1" w:rsidRDefault="00EC17F1" w:rsidP="00EC17F1">
      <w:pPr>
        <w:pStyle w:val="StandardWeb"/>
        <w:rPr>
          <w:lang w:val="ru-RU"/>
        </w:rPr>
      </w:pPr>
      <w:r w:rsidRPr="00EC17F1">
        <w:rPr>
          <w:lang w:val="ru-RU"/>
        </w:rPr>
        <w:t>Однако появляющиеся сегодня имущественные претензии подобного масштаба следовало бы рассматривать скорее как пропорциональные претензиям ментальным. Кроме того ряд проведенных мероприятий, крупнейшее из которых введение религиозного воспитания в учебных заведениях, не позволяет уже не видеть в этом отчетливых притязаний на культурную гегемонию, являющуюся в конечном счете инструментом материальных интересов, возможно, только большего масштаба и более долгосрочной перспективы.</w:t>
      </w:r>
    </w:p>
    <w:p w:rsidR="00EC17F1" w:rsidRPr="00EC17F1" w:rsidRDefault="00EC17F1" w:rsidP="00EC17F1">
      <w:pPr>
        <w:pStyle w:val="StandardWeb"/>
        <w:rPr>
          <w:lang w:val="ru-RU"/>
        </w:rPr>
      </w:pPr>
      <w:r w:rsidRPr="00EC17F1">
        <w:rPr>
          <w:lang w:val="ru-RU"/>
        </w:rPr>
        <w:t>Секуляризация монастырских владений и отделение церкви от государства, последовательно осуществлявшиеся с эпохи Просвещения и шедшие параллельно с развитием научного знания и формированием демократического общества во всей Европе, включая Россию, наталкивается сегодня на ультрареакционные меры со стороны института церкви, вновь стремящегося срастись с институтом государством. Этот бизнес-проект сулит обоим институтам долгосрочные материальные выгоды.</w:t>
      </w:r>
    </w:p>
    <w:p w:rsidR="00EC17F1" w:rsidRPr="00EC17F1" w:rsidRDefault="00EC17F1" w:rsidP="00EC17F1">
      <w:pPr>
        <w:pStyle w:val="StandardWeb"/>
        <w:rPr>
          <w:lang w:val="ru-RU"/>
        </w:rPr>
      </w:pPr>
      <w:r w:rsidRPr="00EC17F1">
        <w:rPr>
          <w:lang w:val="ru-RU"/>
        </w:rPr>
        <w:t>Культурная гегемония, таким образом, есть лишь обратная сторона гегемонии господствующих производственных отношений.</w:t>
      </w:r>
    </w:p>
    <w:p w:rsidR="00EC17F1" w:rsidRPr="00EC17F1" w:rsidRDefault="00EC17F1" w:rsidP="00EC17F1">
      <w:pPr>
        <w:pStyle w:val="StandardWeb"/>
        <w:rPr>
          <w:lang w:val="ru-RU"/>
        </w:rPr>
      </w:pPr>
      <w:r w:rsidRPr="00EC17F1">
        <w:rPr>
          <w:lang w:val="ru-RU"/>
        </w:rPr>
        <w:t>Наша протестная акция направлена против культурных и имущественных претензий РПЦ, замкнутых друг на друга и угрожающих сегодня как возможности получения гуманитарного образования, так и успеху формирования гражданского общества в России.</w:t>
      </w:r>
    </w:p>
    <w:p w:rsidR="00EC17F1" w:rsidRPr="00EC17F1" w:rsidRDefault="00EC17F1" w:rsidP="00EC17F1">
      <w:pPr>
        <w:pStyle w:val="berschrift2"/>
        <w:rPr>
          <w:sz w:val="24"/>
          <w:szCs w:val="24"/>
          <w:lang w:val="ru-RU"/>
        </w:rPr>
      </w:pPr>
      <w:hyperlink r:id="rId7" w:tooltip="Постоянная ссылка на Поэма товарного фетишизма (интервенция в супермаркет)" w:history="1">
        <w:r w:rsidRPr="00EC17F1">
          <w:rPr>
            <w:rStyle w:val="Hyperlink"/>
            <w:sz w:val="24"/>
            <w:szCs w:val="24"/>
            <w:lang w:val="ru-RU"/>
          </w:rPr>
          <w:t>Поэма товарного фетишизма (интервенция в</w:t>
        </w:r>
        <w:r w:rsidRPr="00EC17F1">
          <w:rPr>
            <w:rStyle w:val="Hyperlink"/>
            <w:sz w:val="24"/>
            <w:szCs w:val="24"/>
          </w:rPr>
          <w:t> </w:t>
        </w:r>
        <w:r w:rsidRPr="00EC17F1">
          <w:rPr>
            <w:rStyle w:val="Hyperlink"/>
            <w:sz w:val="24"/>
            <w:szCs w:val="24"/>
            <w:lang w:val="ru-RU"/>
          </w:rPr>
          <w:t>супермаркет)</w:t>
        </w:r>
      </w:hyperlink>
    </w:p>
    <w:p w:rsidR="00EC17F1" w:rsidRPr="00EC17F1" w:rsidRDefault="00EC17F1" w:rsidP="00EC17F1">
      <w:pPr>
        <w:pStyle w:val="StandardWeb"/>
        <w:rPr>
          <w:lang w:val="ru-RU"/>
        </w:rPr>
      </w:pPr>
      <w:r w:rsidRPr="00EC17F1">
        <w:rPr>
          <w:lang w:val="ru-RU"/>
        </w:rPr>
        <w:t xml:space="preserve">«Жил некогда бедный человек. После многих приключении и длительного путешествия с помощью экономической науки он встретил общество изобилия. Они поженились и имели много потребностей». </w:t>
      </w:r>
    </w:p>
    <w:p w:rsidR="00EC17F1" w:rsidRPr="00EC17F1" w:rsidRDefault="00EC17F1" w:rsidP="00EC17F1">
      <w:pPr>
        <w:pStyle w:val="StandardWeb"/>
        <w:rPr>
          <w:lang w:val="ru-RU"/>
        </w:rPr>
      </w:pPr>
      <w:r w:rsidRPr="00EC17F1">
        <w:rPr>
          <w:lang w:val="ru-RU"/>
        </w:rPr>
        <w:t xml:space="preserve">Для нас очевидно, что потребление сегодня (как еще совсем недавно производство) становится основным общественным долгом и обязанностью. Если сегодня индивид принуждается к производству, то в первую очередь это производство своих потребностей. Производственный рост, обеспечивший потенциально бесконечную производительность и породивший проблему сбыта продукции, обогнал эгалитарные программы и, будучи вынужден куда-то себя деть, привел к тому, что у потребителя была изъята власть решать, эта возможность (решать за другого, т.е. манипулировать) была передоверена технократической власти (точно так же как и биополитической — электоральная сфера). В результате чего из освобождения от труда образовался не творческий досуг (самоосуществление человека, </w:t>
      </w:r>
      <w:r w:rsidRPr="00EC17F1">
        <w:t>etc</w:t>
      </w:r>
      <w:r w:rsidRPr="00EC17F1">
        <w:rPr>
          <w:lang w:val="ru-RU"/>
        </w:rPr>
        <w:t xml:space="preserve">), но досуг ставший принудительным — заключающийся в принудительном потреблении – прежде всего (пост)индустриально произведенных знаков отличия, т.е. знаков социальной дифференциации. </w:t>
      </w:r>
    </w:p>
    <w:p w:rsidR="00EC17F1" w:rsidRPr="00EC17F1" w:rsidRDefault="00EC17F1" w:rsidP="00EC17F1">
      <w:pPr>
        <w:pStyle w:val="StandardWeb"/>
        <w:rPr>
          <w:lang w:val="ru-RU"/>
        </w:rPr>
      </w:pPr>
      <w:r w:rsidRPr="00EC17F1">
        <w:rPr>
          <w:lang w:val="ru-RU"/>
        </w:rPr>
        <w:t xml:space="preserve">На некоторой фазе для современного капитализма становится жизненно необходимым контролировать не только аппарат производства, но и потребительский спрос. Общим итогом, достигаемым то ли посредством мер, предшествующих самому акту производства (зондажи, исследования рынка), то ли посредством мер, следующих за </w:t>
      </w:r>
      <w:r w:rsidRPr="00EC17F1">
        <w:rPr>
          <w:lang w:val="ru-RU"/>
        </w:rPr>
        <w:lastRenderedPageBreak/>
        <w:t>производством (реклама, маркетинг, упаковка), становится адаптация поведения индивида к рынку и адаптация социальных позиций вообще к потребностям производителя и к целям техноструктуры. Именно это Гэлбрейт называет «перевернутой последовательностью» в противовес «классической последовательности», где инициатива предполагалась принадлежащей потребителю и влияла через рынок на производственные предприятия. «Перевернутая последовательность» разрушает — по крайней мере, она имеет такое критическое значение — фундаментальный миф классического происхождения, состоящий в том, что в экономической системе именно индивиду принадлежит власть. Акцент, сделанный на власти индивида, во многом способствовал санкционированию организации: все расстройства, недостатки, внутренние противоречия производственной системы были оправданы, если они расширяли область суверенности потребителя. И наоборот, ясно, что весь экономический и психосоциологический аппарат исследовании рынка, мотиваций и т. д., с помощью которого пытаются стимулировать на рынке реальный спрос, глубинные потребности потребителя, весь этот аппарат существует с единственной целью воздействовать на спрос в целях сбыта и в то же время так замаскировать этот процесс, чтобы создавалось противоположное впечатление. «Человек стал объектом науки о человеке только начиная с того момента, как автомобили стало труднее продавать, чем создавать» (Бодрийар).</w:t>
      </w:r>
    </w:p>
    <w:p w:rsidR="00EC17F1" w:rsidRPr="00EC17F1" w:rsidRDefault="00EC17F1" w:rsidP="00EC17F1">
      <w:pPr>
        <w:pStyle w:val="StandardWeb"/>
        <w:rPr>
          <w:lang w:val="ru-RU"/>
        </w:rPr>
      </w:pPr>
      <w:r w:rsidRPr="00EC17F1">
        <w:rPr>
          <w:lang w:val="ru-RU"/>
        </w:rPr>
        <w:t>«Праздничные витрины само собой разумеющегося» подразумевают то, что мы наконец достигли новой эры равенства, обеспеченной массовым производством; однако уровень технологического развития, сделавший возможным в</w:t>
      </w:r>
      <w:bookmarkStart w:id="0" w:name="_GoBack"/>
      <w:bookmarkEnd w:id="0"/>
      <w:r w:rsidRPr="00EC17F1">
        <w:rPr>
          <w:lang w:val="ru-RU"/>
        </w:rPr>
        <w:t>сеобщий доступ к элементарным благам породил отнюдь не массовую демократию и не долгожданное равенство, но исключительно равенство перед объектом, это формальное равенство благ подменяет собой перспективу прозрачности социальных отношений.</w:t>
      </w:r>
      <w:r w:rsidRPr="00EC17F1">
        <w:rPr>
          <w:lang w:val="ru-RU"/>
        </w:rPr>
        <w:br/>
        <w:t>Героическая и жестокая Эра Производства не противоположна и не сменяется эйфорической Эпохой Потребления, напротив, вторая наследует первой как этап одного и того же большого процесса расширенного воспроизводства производительных сил и их контроля Система потребления, как система бессознательного социального принуждения, помимо того, что являет нам столь же удручающий антропологический ландшафт, характеризуется значительно более искусным камуфлированием собственной логики. Если эксплуатация посредством отчуждения труда касается коллектива и оказывается, начиная с некоторого уровня, солидаризирующей, то управляемое овладение объектами и благами потребления является индивидуализирующим, десолидаризирующим, деисторизирующим. В качестве производителя и в силу самого факта разделения труда один трудящийся связан с другими: эксплуатация касается всех. В качестве потребителя человек вновь становится одиноким, но не перестает представлять собой при этом стадное существо. Объект потребления изолирует, производя стратификацию статусов, он подчиняет коллективно потребителей кодексу, не пробуждая при этом коллективной солидарности.</w:t>
      </w:r>
    </w:p>
    <w:p w:rsidR="00EC17F1" w:rsidRPr="00EC17F1" w:rsidRDefault="00EC17F1" w:rsidP="00EC17F1">
      <w:pPr>
        <w:pStyle w:val="StandardWeb"/>
        <w:rPr>
          <w:lang w:val="ru-RU"/>
        </w:rPr>
      </w:pPr>
      <w:r w:rsidRPr="00EC17F1">
        <w:rPr>
          <w:lang w:val="ru-RU"/>
        </w:rPr>
        <w:t xml:space="preserve">Как цель потребления выступает вовсе не наслаждение, оно — лишь индивидуальная рационализация процесса, цели которого лежат в другой области. Наслаждение могло бы характеризовать потребление для себя, которое было бы автономным и целевым. Однако потребление никогда не является таковым. Наслаждаются для себя, но, когда потребляют, никогда не делают этого в одиночестве (это иллюзия потребителя, тщательно поддерживаемая всеми идеологическими рассуждениями о потреблении), а входят в обобщенную систему обмена и производства закодированных ценностей, куда, вопреки им самим, включены все потребители. В этом смысле потребление представляет собой систему значений, как язык или как система родства в </w:t>
      </w:r>
      <w:r w:rsidRPr="00EC17F1">
        <w:rPr>
          <w:lang w:val="ru-RU"/>
        </w:rPr>
        <w:lastRenderedPageBreak/>
        <w:t>примитивном обществе.</w:t>
      </w:r>
      <w:r w:rsidRPr="00EC17F1">
        <w:rPr>
          <w:lang w:val="ru-RU"/>
        </w:rPr>
        <w:br/>
        <w:t>То, что называют экономическим развитием, состоит во многом в изобретении стратегии, которая позволяет победить тенденцию людей ограничивать свои цели в плане доходов, а значит, и свои усилия, внедрение которой происходит через реорганизация первичного уровня потребностей в систему знаков. В логике знаков объекты не связаны больше с определенной функцией или потребностью. Это происходит именно потому, что они соответствуют совсем другой цели, каковой выступает то ли социальная логика, то ли логика желания, где они обслуживают переменчивую и неосознанную область значений.</w:t>
      </w:r>
      <w:r w:rsidRPr="00EC17F1">
        <w:rPr>
          <w:lang w:val="ru-RU"/>
        </w:rPr>
        <w:br/>
        <w:t>Если загоняют потребность в одно место, то есть если ее удовлетворяют, взяв ее буквально так, как она себя проявляет, — как потребность в таком-то объекте, делают ту же самую ошибку, как в том случае, когда применяют традиционную терапию к органу, в котором локализуется симптом. Ведь как только он излечен в одном месте, он локализуется в другом. Мир вещей и потребностей, таким образом, подобен распространившейся истерии. Как все органы и функции тела становятся при превращении гигантской парадигмой, которая отклоняет симптом, так объекты в потреблении становятся обширной парадигмой, где появляется другой язык, где высказывается нечто другое. И можно было бы сказать, что это рассеивание, эта постоянная подвижность ведет к тому, что становится невозможно определить объективно специфику потребности, как невозможно объективно определить при истерии специфику болезни в силу того, что такой специфики не существует.</w:t>
      </w:r>
      <w:r w:rsidRPr="00EC17F1">
        <w:rPr>
          <w:lang w:val="ru-RU"/>
        </w:rPr>
        <w:br/>
        <w:t>Можно было бы сказать, что этот бег от одного значения к другому является только поверхностной реальностью желания, которое неутолимо, потому что оно основывается на глубокой неудовлетворенности, в силу чего это всегда неутолимое желание последовательно ориентируется на локальные объекты и потребности. Став на социологическую точку зрения (но было бы интересно и важно соединить обе указанные позиции), можно выдвинуть гипотезу, что при существующей вечной и наивной растерянности перед движением вперед, перед безграничным обновлением потребностей следует допустить, что потребность всегда является не потребностью в таком-то объекте, а потребностью отличия (желания в социальном смысле); тогда можно понять, что, следовательно, никогда нельзя иметь завершенного удовлетворения.</w:t>
      </w:r>
    </w:p>
    <w:p w:rsidR="00EC17F1" w:rsidRPr="00EC17F1" w:rsidRDefault="00EC17F1" w:rsidP="00EC17F1">
      <w:pPr>
        <w:spacing w:before="100" w:beforeAutospacing="1" w:after="100" w:afterAutospacing="1" w:line="240" w:lineRule="auto"/>
        <w:outlineLvl w:val="1"/>
        <w:rPr>
          <w:rFonts w:ascii="Times New Roman" w:eastAsia="Times New Roman" w:hAnsi="Times New Roman" w:cs="Times New Roman"/>
          <w:b/>
          <w:bCs/>
          <w:sz w:val="24"/>
          <w:szCs w:val="24"/>
          <w:lang w:val="ru-RU" w:eastAsia="de-DE"/>
        </w:rPr>
      </w:pPr>
      <w:r w:rsidRPr="00EC17F1">
        <w:rPr>
          <w:rFonts w:ascii="Times New Roman" w:eastAsia="Times New Roman" w:hAnsi="Times New Roman" w:cs="Times New Roman"/>
          <w:b/>
          <w:bCs/>
          <w:sz w:val="24"/>
          <w:szCs w:val="24"/>
          <w:lang w:val="ru-RU" w:eastAsia="de-DE"/>
        </w:rPr>
        <w:t>Лаборатория Поэтического Акционизма: стратегии репрезентации</w:t>
      </w:r>
      <w:r w:rsidRPr="00EC17F1">
        <w:rPr>
          <w:rFonts w:ascii="Times New Roman" w:eastAsia="Times New Roman" w:hAnsi="Times New Roman" w:cs="Times New Roman"/>
          <w:b/>
          <w:bCs/>
          <w:sz w:val="24"/>
          <w:szCs w:val="24"/>
          <w:lang w:eastAsia="de-DE"/>
        </w:rPr>
        <w:t> </w:t>
      </w:r>
      <w:r w:rsidRPr="00EC17F1">
        <w:rPr>
          <w:rFonts w:ascii="Times New Roman" w:eastAsia="Times New Roman" w:hAnsi="Times New Roman" w:cs="Times New Roman"/>
          <w:b/>
          <w:bCs/>
          <w:sz w:val="24"/>
          <w:szCs w:val="24"/>
          <w:lang w:val="ru-RU" w:eastAsia="de-DE"/>
        </w:rPr>
        <w:t>социальности</w:t>
      </w:r>
    </w:p>
    <w:p w:rsidR="00EC17F1" w:rsidRPr="00EC17F1" w:rsidRDefault="00EC17F1" w:rsidP="00EC17F1">
      <w:pPr>
        <w:spacing w:after="0" w:line="240" w:lineRule="auto"/>
        <w:rPr>
          <w:rFonts w:ascii="Times New Roman" w:eastAsia="Times New Roman" w:hAnsi="Times New Roman" w:cs="Times New Roman"/>
          <w:sz w:val="24"/>
          <w:szCs w:val="24"/>
          <w:lang w:val="ru-RU" w:eastAsia="de-DE"/>
        </w:rPr>
      </w:pPr>
      <w:r w:rsidRPr="00EC17F1">
        <w:rPr>
          <w:rFonts w:ascii="Times New Roman" w:eastAsia="Times New Roman" w:hAnsi="Times New Roman" w:cs="Times New Roman"/>
          <w:sz w:val="24"/>
          <w:szCs w:val="24"/>
          <w:lang w:eastAsia="de-DE"/>
        </w:rPr>
        <w:t>Posted</w:t>
      </w:r>
      <w:r w:rsidRPr="00EC17F1">
        <w:rPr>
          <w:rFonts w:ascii="Times New Roman" w:eastAsia="Times New Roman" w:hAnsi="Times New Roman" w:cs="Times New Roman"/>
          <w:sz w:val="24"/>
          <w:szCs w:val="24"/>
          <w:lang w:val="ru-RU" w:eastAsia="de-DE"/>
        </w:rPr>
        <w:t xml:space="preserve">: 6 сентября, 2016 </w:t>
      </w:r>
      <w:r w:rsidRPr="00EC17F1">
        <w:rPr>
          <w:rFonts w:ascii="Times New Roman" w:eastAsia="Times New Roman" w:hAnsi="Times New Roman" w:cs="Times New Roman"/>
          <w:sz w:val="24"/>
          <w:szCs w:val="24"/>
          <w:lang w:eastAsia="de-DE"/>
        </w:rPr>
        <w:t>in</w:t>
      </w:r>
      <w:r w:rsidRPr="00EC17F1">
        <w:rPr>
          <w:rFonts w:ascii="Times New Roman" w:eastAsia="Times New Roman" w:hAnsi="Times New Roman" w:cs="Times New Roman"/>
          <w:sz w:val="24"/>
          <w:szCs w:val="24"/>
          <w:lang w:val="ru-RU" w:eastAsia="de-DE"/>
        </w:rPr>
        <w:t xml:space="preserve"> </w:t>
      </w:r>
      <w:hyperlink r:id="rId8" w:history="1">
        <w:r w:rsidRPr="00EC17F1">
          <w:rPr>
            <w:rFonts w:ascii="Times New Roman" w:eastAsia="Times New Roman" w:hAnsi="Times New Roman" w:cs="Times New Roman"/>
            <w:color w:val="0000FF"/>
            <w:sz w:val="24"/>
            <w:szCs w:val="24"/>
            <w:u w:val="single"/>
            <w:lang w:val="ru-RU" w:eastAsia="de-DE"/>
          </w:rPr>
          <w:t>Библиотека</w:t>
        </w:r>
      </w:hyperlink>
      <w:r w:rsidRPr="00EC17F1">
        <w:rPr>
          <w:rFonts w:ascii="Times New Roman" w:eastAsia="Times New Roman" w:hAnsi="Times New Roman" w:cs="Times New Roman"/>
          <w:sz w:val="24"/>
          <w:szCs w:val="24"/>
          <w:lang w:val="ru-RU" w:eastAsia="de-DE"/>
        </w:rPr>
        <w:t xml:space="preserve"> </w:t>
      </w:r>
    </w:p>
    <w:p w:rsidR="00EC17F1" w:rsidRPr="00EC17F1" w:rsidRDefault="00EC17F1" w:rsidP="00EC17F1">
      <w:pPr>
        <w:spacing w:before="100" w:beforeAutospacing="1" w:after="100" w:afterAutospacing="1" w:line="240" w:lineRule="auto"/>
        <w:rPr>
          <w:rFonts w:ascii="Times New Roman" w:eastAsia="Times New Roman" w:hAnsi="Times New Roman" w:cs="Times New Roman"/>
          <w:sz w:val="24"/>
          <w:szCs w:val="24"/>
          <w:lang w:val="ru-RU" w:eastAsia="de-DE"/>
        </w:rPr>
      </w:pPr>
      <w:r w:rsidRPr="00EC17F1">
        <w:rPr>
          <w:rFonts w:ascii="Times New Roman" w:eastAsia="Times New Roman" w:hAnsi="Times New Roman" w:cs="Times New Roman"/>
          <w:b/>
          <w:bCs/>
          <w:sz w:val="24"/>
          <w:szCs w:val="24"/>
          <w:lang w:val="ru-RU" w:eastAsia="de-DE"/>
        </w:rPr>
        <w:t>Бехметьева Л.Ю.,</w:t>
      </w:r>
      <w:r w:rsidRPr="00EC17F1">
        <w:rPr>
          <w:rFonts w:ascii="Times New Roman" w:eastAsia="Times New Roman" w:hAnsi="Times New Roman" w:cs="Times New Roman"/>
          <w:sz w:val="24"/>
          <w:szCs w:val="24"/>
          <w:lang w:val="ru-RU" w:eastAsia="de-DE"/>
        </w:rPr>
        <w:t xml:space="preserve"> научный руководитель д-р филол. наук, профессор Говорухина Ю.А. Сибирский Федеральный Университет</w:t>
      </w:r>
    </w:p>
    <w:p w:rsidR="00EC17F1" w:rsidRPr="00EC17F1" w:rsidRDefault="00EC17F1" w:rsidP="00EC17F1">
      <w:pPr>
        <w:spacing w:before="100" w:beforeAutospacing="1" w:after="100" w:afterAutospacing="1" w:line="240" w:lineRule="auto"/>
        <w:rPr>
          <w:rFonts w:ascii="Times New Roman" w:eastAsia="Times New Roman" w:hAnsi="Times New Roman" w:cs="Times New Roman"/>
          <w:sz w:val="24"/>
          <w:szCs w:val="24"/>
          <w:lang w:val="ru-RU" w:eastAsia="de-DE"/>
        </w:rPr>
      </w:pPr>
      <w:r w:rsidRPr="00EC17F1">
        <w:rPr>
          <w:rFonts w:ascii="Times New Roman" w:eastAsia="Times New Roman" w:hAnsi="Times New Roman" w:cs="Times New Roman"/>
          <w:sz w:val="24"/>
          <w:szCs w:val="24"/>
          <w:lang w:val="ru-RU" w:eastAsia="de-DE"/>
        </w:rPr>
        <w:t xml:space="preserve">Поэтический акционизм в широком смысле можно определить как эстетическое явление, генетически восходящее к античной декламации, в том её изводе, который был тесно связан с театральным перфомансом, а также к модернистским литературным практикам: дадаизму, сюрреализму и более позднему шозизму. Под поэтической акцией при этом понимается «вторжение радикального художника на не готовую к этому публичную территорию с последующим скандалом, провоцирующим власть реагировать, а зрителя – думать» [5]. Это понимание современной поэтической акции особенно сближается с постоянными провокациями дадаистов самих себя и окружающих, призванными «расшатать» рамки обыденного сознания и «вытащить человека из гетто привычных вещей и предсказуемых связей» [Там же]. В рамках работы Лаборатории Поэтического Акционизма были разработаны и приведены в </w:t>
      </w:r>
      <w:r w:rsidRPr="00EC17F1">
        <w:rPr>
          <w:rFonts w:ascii="Times New Roman" w:eastAsia="Times New Roman" w:hAnsi="Times New Roman" w:cs="Times New Roman"/>
          <w:sz w:val="24"/>
          <w:szCs w:val="24"/>
          <w:lang w:val="ru-RU" w:eastAsia="de-DE"/>
        </w:rPr>
        <w:lastRenderedPageBreak/>
        <w:t xml:space="preserve">исполнение ряд уличных акций прямого действия, трансформаций городской среды (под которыми понимаются пространственные действия и композциции), интервенций в различные закрытые помещения (галерея, супермаркет) и перфомансов. Поэты Лаборатории (Павел Арсеньев, Дина Гатина и Роман Осминкин) регулярно участвуют в уличных чтениях, устраиваемых совместно с различными самоорганизованными инициативами. Есть у Лаборатории и своя документация, которая «существует в форме видеозаписей, фотографий, текстов задействованных стихотворений и текстов листовок, распространяемых во время некоторых акций», и в максимально исчерпывающем виде представлена на сайте организации [3]. Являясь, несомненно, актуальным направлением современной поэзии, Лаборатория Поэтического Акционизма как рабочее объединение поэтов, художников и философов ставит своей целью «разотчуждение повседневности через насыщение городского пространства поэзией» [Там же]. Понятие «отчуждение» здесь используется в интерпретации Э. Фромма, который считал, что в современном обществе «отчуждение становится почти всеобъемлющим. Оно пронизывает отношение человека к его труду, к предметам, которыми он пользуется, распространяется на государство, на окружающих людей, на него самого &lt;…&gt; человек становится чужим самому себе. Он как бы “остраняется”, отделяется от себя» [4, с. 230]. Описанные тенденции в России носят особенный характер, что обусловлено как недавним историческим прошлым страны, так и ментальностью населения. Мотивы социального отчуждения, подчас принимающего форму изоляции, а также «паралича политической воли» в большей или меньшей степени являются сквозными в творчестве поэтов Лаборатории, но наиболее ярко они проявились в поэтическом сборнике П. Арсеньева «Бесцветные зелёные идеи яростно спят». Актуальными художественными фиксациями социального отчуждения, характерного для общества «постсоветской формации», можно считать такие тексты Павла Арсеньева, как «Религия – это стоматология», «Поэма товарного фетишизма», «Поэма солидарности (она же разобщенности)», где уже в самом названии заложена антитеза существования современного человека, бытование в модусе шизофренической раздвоенности: Возвращайтесь в аудитории, они защищены от сумбура улицы — бесподобной-архитектурой-модерн-фасадом, Защищены от всей этой глупости и надсады. &lt;…&gt; Только в аудиториях священное исследовательское негодование можно будет без утечки направить на подробное описание всех нарушений и попраний. Состроить немой упрёк системе. Не мой и ничей, ведь все мы, в сущности, не так уж и негодуем, возвышая свой голос лишь до немоты упрёка&lt;…&gt; Возвращайтесь в аудитории, они защищены в том числе от подобного рода провокаций. В них всегда найдется мудрый модератор, ответственное лицо, чья широкая либералистская душа, и вы тоже его поймите, не сможет все ж простереться до постановки вопроса о собственной легитимности. После распада СССР коллективная идентичность уже немыслима в прежних своих формах, человек остаётся наедине с самим собой и необходимостью определения своего места в изменившихся социокультурных обстоятельствах. В результате возникает то, что З. Бауман называет «всепроникающим ощущением утраты контроля над настоящим» [1, с. 67], что, по его мнению, ведёт к параличу политической воли и утрате веры в то, что коллективным образом можно достичь чего-либо существенного, а солидарные действия способны внести решительные перемены в состояние человеческих дел. В чём же видит поэт причины разобщённости и асоциализации (дезадаптации)? На всякий пожарный следовало бы сигнализацию встроить и в тело. Ведь пожар в одной голове всегда может перекинуться на другую, И тогда полыхнет весь город. Для этого-то и нужны — качественная изоляция индивидов, система пожарной тревоги, самый простой телефонный номер, также вероятно, призванный напоминать об одиночестве и невозможности солидарности. «Качественная изоляция индивидов» для поэта – не </w:t>
      </w:r>
      <w:r w:rsidRPr="00EC17F1">
        <w:rPr>
          <w:rFonts w:ascii="Times New Roman" w:eastAsia="Times New Roman" w:hAnsi="Times New Roman" w:cs="Times New Roman"/>
          <w:sz w:val="24"/>
          <w:szCs w:val="24"/>
          <w:lang w:val="ru-RU" w:eastAsia="de-DE"/>
        </w:rPr>
        <w:lastRenderedPageBreak/>
        <w:t xml:space="preserve">только опасный симптом, но и следствие «системы пожарной тревоги» как некоего набора властных стратегий и институтов установления тотального контроля за общественным сознанием. В сферу социальных институтов, ответственных за установление контроля, попадает и церковь, в последние годы активно стремящаяся срастись с институтом государства и проводящая агрессивную политику клерикализации общества. &lt;…&gt; Итак: Религия – это Стоматология. Она настаивает на ежедневном отправлении культа – утром после еды и вечером перед сном. Также полагается два раза в год показываться специалисту для профилактического осмотра. Она уверяет, что вы все равно обратитесь к ней, особенно, если слишком долго были беспечны. И вы действительно начинаете чувствовать, что все окружающее лишь суета сует, что мир, расположенный за границами полости рта, иллюзорен, что его как бы нет. Что вы совсем запустили самое дорогое (а этот сервис и вправду недешев), ведь что бы ни говорили, каждый из нас умирает наедине со своими зубами. И каждого из нас на Страшном Приеме спросят, заботился ли он об их спасении, а как нет, то ему уже поздно будет взывать к </w:t>
      </w:r>
      <w:r w:rsidRPr="00EC17F1">
        <w:rPr>
          <w:rFonts w:ascii="Times New Roman" w:eastAsia="Times New Roman" w:hAnsi="Times New Roman" w:cs="Times New Roman"/>
          <w:sz w:val="24"/>
          <w:szCs w:val="24"/>
          <w:lang w:eastAsia="de-DE"/>
        </w:rPr>
        <w:t>deus</w:t>
      </w:r>
      <w:r w:rsidRPr="00EC17F1">
        <w:rPr>
          <w:rFonts w:ascii="Times New Roman" w:eastAsia="Times New Roman" w:hAnsi="Times New Roman" w:cs="Times New Roman"/>
          <w:sz w:val="24"/>
          <w:szCs w:val="24"/>
          <w:lang w:val="ru-RU" w:eastAsia="de-DE"/>
        </w:rPr>
        <w:t xml:space="preserve"> </w:t>
      </w:r>
      <w:r w:rsidRPr="00EC17F1">
        <w:rPr>
          <w:rFonts w:ascii="Times New Roman" w:eastAsia="Times New Roman" w:hAnsi="Times New Roman" w:cs="Times New Roman"/>
          <w:sz w:val="24"/>
          <w:szCs w:val="24"/>
          <w:lang w:eastAsia="de-DE"/>
        </w:rPr>
        <w:t>ex</w:t>
      </w:r>
      <w:r w:rsidRPr="00EC17F1">
        <w:rPr>
          <w:rFonts w:ascii="Times New Roman" w:eastAsia="Times New Roman" w:hAnsi="Times New Roman" w:cs="Times New Roman"/>
          <w:sz w:val="24"/>
          <w:szCs w:val="24"/>
          <w:lang w:val="ru-RU" w:eastAsia="de-DE"/>
        </w:rPr>
        <w:t xml:space="preserve"> бор-</w:t>
      </w:r>
      <w:r w:rsidRPr="00EC17F1">
        <w:rPr>
          <w:rFonts w:ascii="Times New Roman" w:eastAsia="Times New Roman" w:hAnsi="Times New Roman" w:cs="Times New Roman"/>
          <w:sz w:val="24"/>
          <w:szCs w:val="24"/>
          <w:lang w:eastAsia="de-DE"/>
        </w:rPr>
        <w:t>machina</w:t>
      </w:r>
      <w:r w:rsidRPr="00EC17F1">
        <w:rPr>
          <w:rFonts w:ascii="Times New Roman" w:eastAsia="Times New Roman" w:hAnsi="Times New Roman" w:cs="Times New Roman"/>
          <w:sz w:val="24"/>
          <w:szCs w:val="24"/>
          <w:lang w:val="ru-RU" w:eastAsia="de-DE"/>
        </w:rPr>
        <w:t>. Посредством перекодирования культурных символов и построения исторических аналогий в текстах П. Арсеньева дискредитируются тоталитарные стратегии властного дискурса, а смысловым центром оказывается категория свободы, в том числе и свободы высказывания, которая поэтом понимается как высшая ценность, традиционно подавляемая властным дискурсом. Арсеньев выстраивает тексты как многоуровневые метафоры. В этом смысле пространственный образ стоматологического кабинета поэмы «Религия – это стоматология» семантически уравнивается с образом учебной аудитории из «Поэмы солидарности» как места ретрансляции застывших, изначально заданных смыслов и выполняет роль «пространства ментальной модерации» масс, модификации их сознания, а образ стоматолога сближается с образом «мудрого модератора», как архетипическим образом «властителя и спасителя», почти мистическую тягу к «сильной руке» которого знает литература. Другие в пространстве аудитории вне проблемы идентичности, которая предполагает ситуацию активного выбора. Нерефлектирующая масса за стенами аудитории для поэта – отчуждённые Другие, которых объединяет лишь пространство топоса, а не идеологии. Они избежали опасности экзистенциального выбора, но их сознание запуталось в сети внедрённых идеологических конструктов. Всё это встраивается в единую систему, ответственную за формирование общественного сознания, в ситуации активного противостояния которой находится поэт. Процессы «замирания» политической активности описывает в статье «Расплывающиеся острова» и социолог культуры Б. Дубин, говоря о том, что перед нами сейчас Россия, которая пытается адаптироваться к окружающему строю, продолжающему распадаться и что этот процесс, который можно более точно квалифицировать как процесс «понижающей адаптации», заключается в снижении требований как к окружающей реальности, так и к самому себе. Человек словно бы уговаривает символического Другого и себя: «А что, и так неплохо, что нам, больше всех надо? Лишь бы войны не было», при этом пытаясь оправдать и своё индивидуальное бессилие»: «Я что ли всю эту кашу заварил? Я вообще к этому никакого отношения не имею. Меня здесь нет и не бывало, у меня алиби». Эта новая антропологическая конструкция социальной жизни, «конструкция взаимодействия без действия, самоопределения через отсутствие – алиби» [2, с. 257] представляется очень важной при осмыслении механизмов самоидентификации современного человека. Посредством механизма негации, или отрицания, в модусе противостояния, борьбы с вышеописанными социальными конструктами прорисовывается и идентичность современного поэта как человека с активной гражданской позицией, реализующего свою причастность, «не-алиби» в мире.</w:t>
      </w:r>
    </w:p>
    <w:p w:rsidR="00EC17F1" w:rsidRPr="00EC17F1" w:rsidRDefault="00EC17F1" w:rsidP="00EC17F1">
      <w:pPr>
        <w:spacing w:before="100" w:beforeAutospacing="1" w:after="100" w:afterAutospacing="1" w:line="240" w:lineRule="auto"/>
        <w:rPr>
          <w:rFonts w:ascii="Times New Roman" w:eastAsia="Times New Roman" w:hAnsi="Times New Roman" w:cs="Times New Roman"/>
          <w:sz w:val="24"/>
          <w:szCs w:val="24"/>
          <w:lang w:val="ru-RU" w:eastAsia="de-DE"/>
        </w:rPr>
      </w:pPr>
      <w:r w:rsidRPr="00EC17F1">
        <w:rPr>
          <w:rFonts w:ascii="Times New Roman" w:eastAsia="Times New Roman" w:hAnsi="Times New Roman" w:cs="Times New Roman"/>
          <w:sz w:val="24"/>
          <w:szCs w:val="24"/>
          <w:lang w:val="ru-RU" w:eastAsia="de-DE"/>
        </w:rPr>
        <w:lastRenderedPageBreak/>
        <w:t>Список литературы:</w:t>
      </w:r>
    </w:p>
    <w:p w:rsidR="00EC17F1" w:rsidRPr="00EC17F1" w:rsidRDefault="00EC17F1" w:rsidP="00EC17F1">
      <w:pPr>
        <w:spacing w:before="100" w:beforeAutospacing="1" w:after="100" w:afterAutospacing="1" w:line="240" w:lineRule="auto"/>
        <w:rPr>
          <w:rFonts w:ascii="Times New Roman" w:eastAsia="Times New Roman" w:hAnsi="Times New Roman" w:cs="Times New Roman"/>
          <w:sz w:val="24"/>
          <w:szCs w:val="24"/>
          <w:lang w:val="ru-RU" w:eastAsia="de-DE"/>
        </w:rPr>
      </w:pPr>
      <w:r w:rsidRPr="00EC17F1">
        <w:rPr>
          <w:rFonts w:ascii="Times New Roman" w:eastAsia="Times New Roman" w:hAnsi="Times New Roman" w:cs="Times New Roman"/>
          <w:sz w:val="24"/>
          <w:szCs w:val="24"/>
          <w:lang w:val="ru-RU" w:eastAsia="de-DE"/>
        </w:rPr>
        <w:t>1. Бауман З. Индивидуализированное общество. – М.: Логос, 2005. – 390 с.</w:t>
      </w:r>
      <w:r w:rsidRPr="00EC17F1">
        <w:rPr>
          <w:rFonts w:ascii="Times New Roman" w:eastAsia="Times New Roman" w:hAnsi="Times New Roman" w:cs="Times New Roman"/>
          <w:sz w:val="24"/>
          <w:szCs w:val="24"/>
          <w:lang w:val="ru-RU" w:eastAsia="de-DE"/>
        </w:rPr>
        <w:br/>
        <w:t>2. Дубин Б. Классика, после и рядом: Социологические очерки о литературе и культуре. – М.: НЛО, 2010. – 345 с.</w:t>
      </w:r>
      <w:r w:rsidRPr="00EC17F1">
        <w:rPr>
          <w:rFonts w:ascii="Times New Roman" w:eastAsia="Times New Roman" w:hAnsi="Times New Roman" w:cs="Times New Roman"/>
          <w:sz w:val="24"/>
          <w:szCs w:val="24"/>
          <w:lang w:val="ru-RU" w:eastAsia="de-DE"/>
        </w:rPr>
        <w:br/>
        <w:t xml:space="preserve">3. Лаборатория Поэтического Акционизма. Режим доступа: </w:t>
      </w:r>
      <w:hyperlink r:id="rId9" w:history="1">
        <w:r w:rsidRPr="00EC17F1">
          <w:rPr>
            <w:rFonts w:ascii="Times New Roman" w:eastAsia="Times New Roman" w:hAnsi="Times New Roman" w:cs="Times New Roman"/>
            <w:color w:val="0000FF"/>
            <w:sz w:val="24"/>
            <w:szCs w:val="24"/>
            <w:u w:val="single"/>
            <w:lang w:eastAsia="de-DE"/>
          </w:rPr>
          <w:t>https</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poetryactionism</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wordpress</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com</w:t>
        </w:r>
      </w:hyperlink>
      <w:r w:rsidRPr="00EC17F1">
        <w:rPr>
          <w:rFonts w:ascii="Times New Roman" w:eastAsia="Times New Roman" w:hAnsi="Times New Roman" w:cs="Times New Roman"/>
          <w:sz w:val="24"/>
          <w:szCs w:val="24"/>
          <w:lang w:val="ru-RU" w:eastAsia="de-DE"/>
        </w:rPr>
        <w:br/>
        <w:t>4. Фромм Э. Человек одинок // Иностранная литература. 1966. №1. С.230-233.</w:t>
      </w:r>
      <w:r w:rsidRPr="00EC17F1">
        <w:rPr>
          <w:rFonts w:ascii="Times New Roman" w:eastAsia="Times New Roman" w:hAnsi="Times New Roman" w:cs="Times New Roman"/>
          <w:sz w:val="24"/>
          <w:szCs w:val="24"/>
          <w:lang w:val="ru-RU" w:eastAsia="de-DE"/>
        </w:rPr>
        <w:br/>
        <w:t xml:space="preserve">5. Цветков А. Художественный авангард и социалистическая реклама. Режим доступа: </w:t>
      </w:r>
      <w:hyperlink r:id="rId10" w:history="1">
        <w:r w:rsidRPr="00EC17F1">
          <w:rPr>
            <w:rFonts w:ascii="Times New Roman" w:eastAsia="Times New Roman" w:hAnsi="Times New Roman" w:cs="Times New Roman"/>
            <w:color w:val="0000FF"/>
            <w:sz w:val="24"/>
            <w:szCs w:val="24"/>
            <w:u w:val="single"/>
            <w:lang w:eastAsia="de-DE"/>
          </w:rPr>
          <w:t>http</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rksmb</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org</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get</w:t>
        </w:r>
        <w:r w:rsidRPr="00EC17F1">
          <w:rPr>
            <w:rFonts w:ascii="Times New Roman" w:eastAsia="Times New Roman" w:hAnsi="Times New Roman" w:cs="Times New Roman"/>
            <w:color w:val="0000FF"/>
            <w:sz w:val="24"/>
            <w:szCs w:val="24"/>
            <w:u w:val="single"/>
            <w:lang w:val="ru-RU" w:eastAsia="de-DE"/>
          </w:rPr>
          <w:t>.</w:t>
        </w:r>
        <w:r w:rsidRPr="00EC17F1">
          <w:rPr>
            <w:rFonts w:ascii="Times New Roman" w:eastAsia="Times New Roman" w:hAnsi="Times New Roman" w:cs="Times New Roman"/>
            <w:color w:val="0000FF"/>
            <w:sz w:val="24"/>
            <w:szCs w:val="24"/>
            <w:u w:val="single"/>
            <w:lang w:eastAsia="de-DE"/>
          </w:rPr>
          <w:t>php</w:t>
        </w:r>
        <w:r w:rsidRPr="00EC17F1">
          <w:rPr>
            <w:rFonts w:ascii="Times New Roman" w:eastAsia="Times New Roman" w:hAnsi="Times New Roman" w:cs="Times New Roman"/>
            <w:color w:val="0000FF"/>
            <w:sz w:val="24"/>
            <w:szCs w:val="24"/>
            <w:u w:val="single"/>
            <w:lang w:val="ru-RU" w:eastAsia="de-DE"/>
          </w:rPr>
          <w:t>?1631</w:t>
        </w:r>
      </w:hyperlink>
      <w:r w:rsidRPr="00EC17F1">
        <w:rPr>
          <w:rFonts w:ascii="Times New Roman" w:eastAsia="Times New Roman" w:hAnsi="Times New Roman" w:cs="Times New Roman"/>
          <w:sz w:val="24"/>
          <w:szCs w:val="24"/>
          <w:lang w:val="ru-RU" w:eastAsia="de-DE"/>
        </w:rPr>
        <w:t>.</w:t>
      </w:r>
    </w:p>
    <w:p w:rsidR="00EC17F1" w:rsidRPr="00EC17F1" w:rsidRDefault="00EC17F1" w:rsidP="00EC17F1">
      <w:pPr>
        <w:pStyle w:val="StandardWeb"/>
        <w:rPr>
          <w:lang w:val="ru-RU"/>
        </w:rPr>
      </w:pPr>
    </w:p>
    <w:p w:rsidR="00EC17F1" w:rsidRPr="00EC17F1" w:rsidRDefault="00EC17F1" w:rsidP="00EC17F1">
      <w:pPr>
        <w:pStyle w:val="StandardWeb"/>
        <w:rPr>
          <w:lang w:val="ru-RU"/>
        </w:rPr>
      </w:pPr>
    </w:p>
    <w:p w:rsidR="00F77368" w:rsidRPr="00EC17F1" w:rsidRDefault="00F77368">
      <w:pPr>
        <w:rPr>
          <w:sz w:val="24"/>
          <w:szCs w:val="24"/>
          <w:lang w:val="ru-RU"/>
        </w:rPr>
      </w:pPr>
    </w:p>
    <w:sectPr w:rsidR="00F77368" w:rsidRPr="00EC17F1">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BC1" w:rsidRDefault="00446BC1" w:rsidP="00EC17F1">
      <w:pPr>
        <w:spacing w:after="0" w:line="240" w:lineRule="auto"/>
      </w:pPr>
      <w:r>
        <w:separator/>
      </w:r>
    </w:p>
  </w:endnote>
  <w:endnote w:type="continuationSeparator" w:id="0">
    <w:p w:rsidR="00446BC1" w:rsidRDefault="00446BC1" w:rsidP="00EC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6673207"/>
      <w:docPartObj>
        <w:docPartGallery w:val="Page Numbers (Bottom of Page)"/>
        <w:docPartUnique/>
      </w:docPartObj>
    </w:sdtPr>
    <w:sdtContent>
      <w:p w:rsidR="00EC17F1" w:rsidRDefault="00EC17F1">
        <w:pPr>
          <w:pStyle w:val="Fuzeile"/>
          <w:jc w:val="center"/>
        </w:pPr>
        <w:r>
          <w:fldChar w:fldCharType="begin"/>
        </w:r>
        <w:r>
          <w:instrText>PAGE   \* MERGEFORMAT</w:instrText>
        </w:r>
        <w:r>
          <w:fldChar w:fldCharType="separate"/>
        </w:r>
        <w:r>
          <w:rPr>
            <w:noProof/>
          </w:rPr>
          <w:t>2</w:t>
        </w:r>
        <w:r>
          <w:fldChar w:fldCharType="end"/>
        </w:r>
      </w:p>
    </w:sdtContent>
  </w:sdt>
  <w:p w:rsidR="00EC17F1" w:rsidRDefault="00EC17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BC1" w:rsidRDefault="00446BC1" w:rsidP="00EC17F1">
      <w:pPr>
        <w:spacing w:after="0" w:line="240" w:lineRule="auto"/>
      </w:pPr>
      <w:r>
        <w:separator/>
      </w:r>
    </w:p>
  </w:footnote>
  <w:footnote w:type="continuationSeparator" w:id="0">
    <w:p w:rsidR="00446BC1" w:rsidRDefault="00446BC1" w:rsidP="00EC17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F1"/>
    <w:rsid w:val="00446BC1"/>
    <w:rsid w:val="00EC17F1"/>
    <w:rsid w:val="00F773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F483"/>
  <w15:chartTrackingRefBased/>
  <w15:docId w15:val="{4460454F-83C6-45FE-8928-4EDD7C3B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EC17F1"/>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EC17F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C17F1"/>
    <w:rPr>
      <w:b/>
      <w:bCs/>
    </w:rPr>
  </w:style>
  <w:style w:type="character" w:customStyle="1" w:styleId="berschrift2Zchn">
    <w:name w:val="Überschrift 2 Zchn"/>
    <w:basedOn w:val="Absatz-Standardschriftart"/>
    <w:link w:val="berschrift2"/>
    <w:uiPriority w:val="9"/>
    <w:rsid w:val="00EC17F1"/>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semiHidden/>
    <w:unhideWhenUsed/>
    <w:rsid w:val="00EC17F1"/>
    <w:rPr>
      <w:color w:val="0000FF"/>
      <w:u w:val="single"/>
    </w:rPr>
  </w:style>
  <w:style w:type="paragraph" w:styleId="Kopfzeile">
    <w:name w:val="header"/>
    <w:basedOn w:val="Standard"/>
    <w:link w:val="KopfzeileZchn"/>
    <w:uiPriority w:val="99"/>
    <w:unhideWhenUsed/>
    <w:rsid w:val="00EC17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17F1"/>
  </w:style>
  <w:style w:type="paragraph" w:styleId="Fuzeile">
    <w:name w:val="footer"/>
    <w:basedOn w:val="Standard"/>
    <w:link w:val="FuzeileZchn"/>
    <w:uiPriority w:val="99"/>
    <w:unhideWhenUsed/>
    <w:rsid w:val="00EC17F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697717">
      <w:bodyDiv w:val="1"/>
      <w:marLeft w:val="0"/>
      <w:marRight w:val="0"/>
      <w:marTop w:val="0"/>
      <w:marBottom w:val="0"/>
      <w:divBdr>
        <w:top w:val="none" w:sz="0" w:space="0" w:color="auto"/>
        <w:left w:val="none" w:sz="0" w:space="0" w:color="auto"/>
        <w:bottom w:val="none" w:sz="0" w:space="0" w:color="auto"/>
        <w:right w:val="none" w:sz="0" w:space="0" w:color="auto"/>
      </w:divBdr>
    </w:div>
    <w:div w:id="628820388">
      <w:bodyDiv w:val="1"/>
      <w:marLeft w:val="0"/>
      <w:marRight w:val="0"/>
      <w:marTop w:val="0"/>
      <w:marBottom w:val="0"/>
      <w:divBdr>
        <w:top w:val="none" w:sz="0" w:space="0" w:color="auto"/>
        <w:left w:val="none" w:sz="0" w:space="0" w:color="auto"/>
        <w:bottom w:val="none" w:sz="0" w:space="0" w:color="auto"/>
        <w:right w:val="none" w:sz="0" w:space="0" w:color="auto"/>
      </w:divBdr>
    </w:div>
    <w:div w:id="1612739470">
      <w:bodyDiv w:val="1"/>
      <w:marLeft w:val="0"/>
      <w:marRight w:val="0"/>
      <w:marTop w:val="0"/>
      <w:marBottom w:val="0"/>
      <w:divBdr>
        <w:top w:val="none" w:sz="0" w:space="0" w:color="auto"/>
        <w:left w:val="none" w:sz="0" w:space="0" w:color="auto"/>
        <w:bottom w:val="none" w:sz="0" w:space="0" w:color="auto"/>
        <w:right w:val="none" w:sz="0" w:space="0" w:color="auto"/>
      </w:divBdr>
      <w:divsChild>
        <w:div w:id="167142642">
          <w:marLeft w:val="0"/>
          <w:marRight w:val="0"/>
          <w:marTop w:val="0"/>
          <w:marBottom w:val="0"/>
          <w:divBdr>
            <w:top w:val="none" w:sz="0" w:space="0" w:color="auto"/>
            <w:left w:val="none" w:sz="0" w:space="0" w:color="auto"/>
            <w:bottom w:val="none" w:sz="0" w:space="0" w:color="auto"/>
            <w:right w:val="none" w:sz="0" w:space="0" w:color="auto"/>
          </w:divBdr>
        </w:div>
        <w:div w:id="1225137951">
          <w:marLeft w:val="0"/>
          <w:marRight w:val="0"/>
          <w:marTop w:val="0"/>
          <w:marBottom w:val="0"/>
          <w:divBdr>
            <w:top w:val="none" w:sz="0" w:space="0" w:color="auto"/>
            <w:left w:val="none" w:sz="0" w:space="0" w:color="auto"/>
            <w:bottom w:val="none" w:sz="0" w:space="0" w:color="auto"/>
            <w:right w:val="none" w:sz="0" w:space="0" w:color="auto"/>
          </w:divBdr>
        </w:div>
        <w:div w:id="1750955436">
          <w:marLeft w:val="0"/>
          <w:marRight w:val="0"/>
          <w:marTop w:val="0"/>
          <w:marBottom w:val="0"/>
          <w:divBdr>
            <w:top w:val="none" w:sz="0" w:space="0" w:color="auto"/>
            <w:left w:val="none" w:sz="0" w:space="0" w:color="auto"/>
            <w:bottom w:val="none" w:sz="0" w:space="0" w:color="auto"/>
            <w:right w:val="none" w:sz="0" w:space="0" w:color="auto"/>
          </w:divBdr>
        </w:div>
      </w:divsChild>
    </w:div>
    <w:div w:id="1728528829">
      <w:bodyDiv w:val="1"/>
      <w:marLeft w:val="0"/>
      <w:marRight w:val="0"/>
      <w:marTop w:val="0"/>
      <w:marBottom w:val="0"/>
      <w:divBdr>
        <w:top w:val="none" w:sz="0" w:space="0" w:color="auto"/>
        <w:left w:val="none" w:sz="0" w:space="0" w:color="auto"/>
        <w:bottom w:val="none" w:sz="0" w:space="0" w:color="auto"/>
        <w:right w:val="none" w:sz="0" w:space="0" w:color="auto"/>
      </w:divBdr>
    </w:div>
    <w:div w:id="17709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etryactionism.wordpress.com/category/%d0%bc%d0%b0%d1%82%d0%b5%d1%80%d0%b8%d0%b0%d0%bb%d1%8b/%d0%b1%d0%b8%d0%b1%d0%bb%d0%b8%d0%be%d1%82%d0%b5%d0%ba%d0%b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oetryactionism.wordpress.com/2010/10/26/%d0%bf%d0%be%d1%8d%d0%bc%d0%b0-%d1%82%d0%be%d0%b2%d0%b0%d1%80%d0%bd%d0%be%d0%b3%d0%be-%d1%84%d0%b5%d1%82%d0%b8%d1%88%d0%b8%d0%b7%d0%bc%d0%b0-%d0%b8%d0%bd%d1%82%d0%b5%d1%80%d0%b2%d0%b5%d0%bd%d1%8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etryactionism.wordpress.com/2010/10/26/extreiz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rksmb.org/get.php?1631" TargetMode="External"/><Relationship Id="rId4" Type="http://schemas.openxmlformats.org/officeDocument/2006/relationships/footnotes" Target="footnotes.xml"/><Relationship Id="rId9" Type="http://schemas.openxmlformats.org/officeDocument/2006/relationships/hyperlink" Target="https://poetryactionism.wordpress.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2972</Words>
  <Characters>18729</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Smola</dc:creator>
  <cp:keywords/>
  <dc:description/>
  <cp:lastModifiedBy>Smola</cp:lastModifiedBy>
  <cp:revision>1</cp:revision>
  <dcterms:created xsi:type="dcterms:W3CDTF">2021-11-09T18:13:00Z</dcterms:created>
  <dcterms:modified xsi:type="dcterms:W3CDTF">2021-11-09T18:16:00Z</dcterms:modified>
</cp:coreProperties>
</file>