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647C" w14:textId="0491AC8E" w:rsidR="00987CBF" w:rsidRDefault="00987CBF"/>
    <w:p w14:paraId="0B436254" w14:textId="46760467" w:rsidR="00A15755" w:rsidRDefault="00A15755" w:rsidP="00F32A1D">
      <w:r>
        <w:t>„Der Bürger wird als Subjekt auf einem anonymen Markt gedacht, das wie ein Unternehmen agiert, seine Fähigkeiten vermarktet und somit Einnahmen und Gewinne erzielt.“ (Lutz</w:t>
      </w:r>
      <w:r w:rsidR="005965B3">
        <w:t xml:space="preserve"> 2008, S. 4)</w:t>
      </w:r>
    </w:p>
    <w:p w14:paraId="3893D070" w14:textId="19B03D8B" w:rsidR="000B10C0" w:rsidRDefault="000B10C0" w:rsidP="00F32A1D"/>
    <w:p w14:paraId="1935C3B5" w14:textId="5155F2D5" w:rsidR="000B10C0" w:rsidRDefault="003D3C0F" w:rsidP="00F32A1D">
      <w:r>
        <w:t xml:space="preserve">Durch die </w:t>
      </w:r>
      <w:r w:rsidR="00E017D8">
        <w:t>S</w:t>
      </w:r>
      <w:r>
        <w:t xml:space="preserve">teigerung der Steuereinnahmen konnte in Deutschland in den Jahrzehnten nach den Kriegen </w:t>
      </w:r>
      <w:r w:rsidR="00E017D8">
        <w:t>die Wohlfahrtstaatlichkeit</w:t>
      </w:r>
      <w:r w:rsidR="00DD7221">
        <w:t xml:space="preserve"> und Expansion des Sozialsektors</w:t>
      </w:r>
      <w:r w:rsidR="00E017D8">
        <w:t xml:space="preserve"> durch </w:t>
      </w:r>
      <w:r w:rsidR="00DD7221">
        <w:t>ein großes Wirtschaftswachstum und die Vollbeschäftigung gesteigert werden.</w:t>
      </w:r>
      <w:r w:rsidR="004B104B">
        <w:t xml:space="preserve"> Viele </w:t>
      </w:r>
      <w:proofErr w:type="spellStart"/>
      <w:proofErr w:type="gramStart"/>
      <w:r w:rsidR="004B104B">
        <w:t>Akteur:innen</w:t>
      </w:r>
      <w:proofErr w:type="spellEnd"/>
      <w:proofErr w:type="gramEnd"/>
      <w:r w:rsidR="004B104B">
        <w:t xml:space="preserve"> in jeglichen Bereichen waren fest davon überzeugt, dass dieses Wachstum sehr lange anhalten würde obwohl sich bereits in den 60er Jahren </w:t>
      </w:r>
      <w:r w:rsidR="00D30FF0">
        <w:t>ein Negativtrend bei genauem Hinschauen erkennen lies durch beispielsweise extrem gestiegene Sozialausgaben des Staates (</w:t>
      </w:r>
      <w:r w:rsidR="00CF10B7">
        <w:t xml:space="preserve">vgl. </w:t>
      </w:r>
      <w:r w:rsidR="00F13B3E">
        <w:t>Dahme 2008, S.11)</w:t>
      </w:r>
      <w:r w:rsidR="00987CBF">
        <w:t>.</w:t>
      </w:r>
    </w:p>
    <w:p w14:paraId="0F7B3AEF" w14:textId="05908A3E" w:rsidR="0062544F" w:rsidRDefault="0062544F" w:rsidP="00F32A1D"/>
    <w:p w14:paraId="15140E78" w14:textId="3ADCF60B" w:rsidR="0062544F" w:rsidRDefault="008035B0" w:rsidP="00F32A1D">
      <w:pPr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 xml:space="preserve">„Von sozialen Bewegungen gehen wichtige Impulse für die Entwicklung </w:t>
      </w:r>
      <w:r w:rsidR="00F566C5">
        <w:rPr>
          <w:rFonts w:eastAsia="Times New Roman" w:cs="Arial"/>
          <w:lang w:eastAsia="de-DE"/>
        </w:rPr>
        <w:t xml:space="preserve">Sozialer Arbeit aus.“ (Ehlert </w:t>
      </w:r>
      <w:r w:rsidR="001F6D8C">
        <w:rPr>
          <w:rFonts w:eastAsia="Times New Roman" w:cs="Arial"/>
          <w:lang w:eastAsia="de-DE"/>
        </w:rPr>
        <w:t>20</w:t>
      </w:r>
      <w:r w:rsidR="004566F6">
        <w:rPr>
          <w:rFonts w:eastAsia="Times New Roman" w:cs="Arial"/>
          <w:lang w:eastAsia="de-DE"/>
        </w:rPr>
        <w:t>22</w:t>
      </w:r>
      <w:r w:rsidR="001F6D8C">
        <w:rPr>
          <w:rFonts w:eastAsia="Times New Roman" w:cs="Arial"/>
          <w:lang w:eastAsia="de-DE"/>
        </w:rPr>
        <w:t>, S. 9)</w:t>
      </w:r>
    </w:p>
    <w:p w14:paraId="5EB6DEEA" w14:textId="02453FA4" w:rsidR="00803A99" w:rsidRDefault="00803A99" w:rsidP="00F32A1D">
      <w:pPr>
        <w:rPr>
          <w:rFonts w:eastAsia="Times New Roman" w:cs="Arial"/>
          <w:lang w:eastAsia="de-DE"/>
        </w:rPr>
      </w:pPr>
    </w:p>
    <w:p w14:paraId="35A731B3" w14:textId="275DB783" w:rsidR="00CF10B7" w:rsidRDefault="00CF10B7" w:rsidP="00F32A1D">
      <w:pPr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>Durch die ersten Frauenbewegungen wird der Beruf der Sozialen Arbeit unmittelbar als Frauenarbeit deklariert (vgl. Ehlert 2022, S. 9)</w:t>
      </w:r>
      <w:r w:rsidR="00987CBF">
        <w:rPr>
          <w:rFonts w:eastAsia="Times New Roman" w:cs="Arial"/>
          <w:lang w:eastAsia="de-DE"/>
        </w:rPr>
        <w:t>.</w:t>
      </w:r>
    </w:p>
    <w:p w14:paraId="45E9BCA0" w14:textId="32F6256F" w:rsidR="00CF10B7" w:rsidRDefault="00CF10B7" w:rsidP="00F32A1D">
      <w:pPr>
        <w:rPr>
          <w:rFonts w:eastAsia="Times New Roman" w:cs="Arial"/>
          <w:lang w:eastAsia="de-DE"/>
        </w:rPr>
      </w:pPr>
    </w:p>
    <w:p w14:paraId="5E59C735" w14:textId="2DE1071D" w:rsidR="00D01D3A" w:rsidRPr="00D01D3A" w:rsidRDefault="00D01D3A" w:rsidP="00D01D3A">
      <w:pPr>
        <w:rPr>
          <w:rFonts w:ascii="Times New Roman" w:eastAsia="Times New Roman" w:hAnsi="Times New Roman" w:cs="Times New Roman"/>
          <w:lang w:eastAsia="de-DE"/>
        </w:rPr>
      </w:pPr>
      <w:r>
        <w:rPr>
          <w:rFonts w:eastAsia="Times New Roman" w:cs="Arial"/>
          <w:lang w:eastAsia="de-DE"/>
        </w:rPr>
        <w:t>„</w:t>
      </w:r>
      <w:r w:rsidRPr="00D01D3A">
        <w:rPr>
          <w:rFonts w:eastAsia="Times New Roman" w:cs="Arial"/>
          <w:lang w:eastAsia="de-DE"/>
        </w:rPr>
        <w:t>Übereinstimmendes Merkmal der meisten Definitionen zur sozialen Kontrolle ist</w:t>
      </w:r>
      <w:r>
        <w:rPr>
          <w:rFonts w:eastAsia="Times New Roman" w:cs="Arial"/>
          <w:lang w:eastAsia="de-DE"/>
        </w:rPr>
        <w:t xml:space="preserve"> </w:t>
      </w:r>
      <w:r w:rsidRPr="00D01D3A">
        <w:rPr>
          <w:rFonts w:eastAsia="Times New Roman" w:cs="Arial"/>
          <w:lang w:eastAsia="de-DE"/>
        </w:rPr>
        <w:t>deren Intention,</w:t>
      </w:r>
      <w:r>
        <w:rPr>
          <w:rFonts w:ascii="Times New Roman" w:eastAsia="Times New Roman" w:hAnsi="Times New Roman" w:cs="Times New Roman"/>
          <w:lang w:eastAsia="de-DE"/>
        </w:rPr>
        <w:t xml:space="preserve"> </w:t>
      </w:r>
      <w:r w:rsidRPr="00D01D3A">
        <w:rPr>
          <w:rFonts w:eastAsia="Times New Roman" w:cs="Arial"/>
          <w:lang w:eastAsia="de-DE"/>
        </w:rPr>
        <w:t>abweichendes Verhalten zukünftig zu verhindern.</w:t>
      </w:r>
      <w:r>
        <w:rPr>
          <w:rFonts w:eastAsia="Times New Roman" w:cs="Arial"/>
          <w:lang w:eastAsia="de-DE"/>
        </w:rPr>
        <w:t>“</w:t>
      </w:r>
      <w:r w:rsidR="000B5D52">
        <w:rPr>
          <w:rFonts w:eastAsia="Times New Roman" w:cs="Arial"/>
          <w:lang w:eastAsia="de-DE"/>
        </w:rPr>
        <w:t xml:space="preserve"> (</w:t>
      </w:r>
      <w:proofErr w:type="spellStart"/>
      <w:r w:rsidR="000B5D52">
        <w:rPr>
          <w:rFonts w:eastAsia="Times New Roman" w:cs="Arial"/>
          <w:lang w:eastAsia="de-DE"/>
        </w:rPr>
        <w:t>Flösser</w:t>
      </w:r>
      <w:proofErr w:type="spellEnd"/>
      <w:r w:rsidR="000B5D52">
        <w:rPr>
          <w:rFonts w:eastAsia="Times New Roman" w:cs="Arial"/>
          <w:lang w:eastAsia="de-DE"/>
        </w:rPr>
        <w:t>, Wohlgemuth 2018</w:t>
      </w:r>
      <w:r w:rsidR="005F2205">
        <w:rPr>
          <w:rFonts w:eastAsia="Times New Roman" w:cs="Arial"/>
          <w:lang w:eastAsia="de-DE"/>
        </w:rPr>
        <w:t>, S. 1467)</w:t>
      </w:r>
    </w:p>
    <w:p w14:paraId="2806EEF7" w14:textId="69E9E6D8" w:rsidR="00CF10B7" w:rsidRDefault="00CF10B7" w:rsidP="00F32A1D">
      <w:pPr>
        <w:rPr>
          <w:rFonts w:eastAsia="Times New Roman" w:cs="Arial"/>
          <w:lang w:eastAsia="de-DE"/>
        </w:rPr>
      </w:pPr>
    </w:p>
    <w:p w14:paraId="4D49EA1F" w14:textId="6EC2199E" w:rsidR="0032229B" w:rsidRDefault="0025220A" w:rsidP="00F32A1D">
      <w:pPr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 xml:space="preserve">Gerade in Europa ist es besonders auffällig, dass sich die Soziale Arbeit durch eine Vielzahl an Titeln, Methoden und Organisationen </w:t>
      </w:r>
      <w:r w:rsidR="00A673FC">
        <w:rPr>
          <w:rFonts w:eastAsia="Times New Roman" w:cs="Arial"/>
          <w:lang w:eastAsia="de-DE"/>
        </w:rPr>
        <w:t>präsentiert, welche meist nicht geordnet oder systematisiert sind (vgl. Lorenz 2018, S. 1408)</w:t>
      </w:r>
      <w:r w:rsidR="00987CBF">
        <w:rPr>
          <w:rFonts w:eastAsia="Times New Roman" w:cs="Arial"/>
          <w:lang w:eastAsia="de-DE"/>
        </w:rPr>
        <w:t>.</w:t>
      </w:r>
    </w:p>
    <w:p w14:paraId="1CCE03D9" w14:textId="4E14F549" w:rsidR="00803A99" w:rsidRDefault="00803A99" w:rsidP="00F32A1D"/>
    <w:p w14:paraId="1512D6C0" w14:textId="0EC54671" w:rsidR="00A61825" w:rsidRDefault="00A61825" w:rsidP="00F32A1D"/>
    <w:p w14:paraId="412C037D" w14:textId="508EB338" w:rsidR="00A61825" w:rsidRDefault="00A61825" w:rsidP="00F32A1D"/>
    <w:p w14:paraId="0D7E38E6" w14:textId="77777777" w:rsidR="00A61825" w:rsidRDefault="00A61825" w:rsidP="00F32A1D"/>
    <w:p w14:paraId="3F49D082" w14:textId="0DD0D901" w:rsidR="00F32A1D" w:rsidRDefault="00F32A1D" w:rsidP="00F32A1D"/>
    <w:sdt>
      <w:sdtPr>
        <w:rPr>
          <w:rFonts w:ascii="Arial" w:eastAsiaTheme="minorHAnsi" w:hAnsi="Arial" w:cs="Arial"/>
          <w:b w:val="0"/>
          <w:bCs w:val="0"/>
          <w:color w:val="auto"/>
          <w:sz w:val="24"/>
          <w:szCs w:val="24"/>
          <w:lang w:eastAsia="en-US"/>
        </w:rPr>
        <w:id w:val="-1620452862"/>
        <w:docPartObj>
          <w:docPartGallery w:val="Bibliographies"/>
          <w:docPartUnique/>
        </w:docPartObj>
      </w:sdtPr>
      <w:sdtEndPr/>
      <w:sdtContent>
        <w:p w14:paraId="10DA1E89" w14:textId="1C002EED" w:rsidR="00A61825" w:rsidRPr="00A61825" w:rsidRDefault="00A61825" w:rsidP="00A61825">
          <w:pPr>
            <w:pStyle w:val="berschrift1"/>
            <w:spacing w:line="360" w:lineRule="auto"/>
            <w:rPr>
              <w:rFonts w:ascii="Arial" w:eastAsiaTheme="minorHAnsi" w:hAnsi="Arial" w:cs="Arial"/>
              <w:b w:val="0"/>
              <w:bCs w:val="0"/>
              <w:color w:val="auto"/>
              <w:sz w:val="24"/>
              <w:szCs w:val="24"/>
              <w:lang w:eastAsia="en-US"/>
            </w:rPr>
          </w:pPr>
        </w:p>
        <w:p w14:paraId="3355E991" w14:textId="0F6E2DA7" w:rsidR="00C92061" w:rsidRPr="00A61825" w:rsidRDefault="00F32A1D" w:rsidP="00C92061">
          <w:pPr>
            <w:pStyle w:val="Literaturverzeichnis"/>
            <w:ind w:left="720" w:hanging="720"/>
            <w:rPr>
              <w:rFonts w:cs="Arial"/>
              <w:b/>
              <w:bCs/>
              <w:noProof/>
            </w:rPr>
          </w:pPr>
          <w:r w:rsidRPr="00A61825">
            <w:rPr>
              <w:rFonts w:cs="Arial"/>
              <w:b/>
              <w:bCs/>
            </w:rPr>
            <w:t>Literaturverzeichnis</w:t>
          </w:r>
          <w:r w:rsidR="00C92061" w:rsidRPr="00A61825">
            <w:rPr>
              <w:rFonts w:cs="Arial"/>
              <w:b/>
              <w:bCs/>
              <w:noProof/>
            </w:rPr>
            <w:t xml:space="preserve"> </w:t>
          </w:r>
        </w:p>
        <w:p w14:paraId="18584920" w14:textId="2289057F" w:rsidR="00F32A1D" w:rsidRPr="004C5C05" w:rsidRDefault="00C92061" w:rsidP="00C92061">
          <w:pPr>
            <w:pStyle w:val="Literaturverzeichnis"/>
            <w:ind w:left="720" w:hanging="720"/>
            <w:rPr>
              <w:rFonts w:cs="Arial"/>
              <w:noProof/>
            </w:rPr>
          </w:pPr>
          <w:r w:rsidRPr="004C5C05">
            <w:rPr>
              <w:rFonts w:cs="Arial"/>
              <w:noProof/>
            </w:rPr>
            <w:t xml:space="preserve">Dahme, Heinz-Jürgen (2008): Krisender öffentlichen Kassen des Sozialstaats. In:      Politik und Zeitgeschichte. Wandel der Sozialen Arbeit. Jg. 2008 (Heft 12/13), S. 11 </w:t>
          </w:r>
        </w:p>
        <w:sdt>
          <w:sdtPr>
            <w:rPr>
              <w:rFonts w:cs="Arial"/>
            </w:rPr>
            <w:id w:val="111145805"/>
            <w:bibliography/>
          </w:sdtPr>
          <w:sdtEndPr/>
          <w:sdtContent>
            <w:p w14:paraId="5574D925" w14:textId="77777777" w:rsidR="00C92061" w:rsidRPr="004C5C05" w:rsidRDefault="00C92061" w:rsidP="00C92061">
              <w:pPr>
                <w:rPr>
                  <w:rFonts w:cs="Arial"/>
                </w:rPr>
              </w:pPr>
              <w:r w:rsidRPr="004C5C05">
                <w:rPr>
                  <w:rFonts w:cs="Arial"/>
                </w:rPr>
                <w:t xml:space="preserve">Ehlert, </w:t>
              </w:r>
              <w:proofErr w:type="spellStart"/>
              <w:r w:rsidRPr="004C5C05">
                <w:rPr>
                  <w:rFonts w:cs="Arial"/>
                </w:rPr>
                <w:t>Gundrun</w:t>
              </w:r>
              <w:proofErr w:type="spellEnd"/>
              <w:r w:rsidRPr="004C5C05">
                <w:rPr>
                  <w:rFonts w:cs="Arial"/>
                </w:rPr>
                <w:t xml:space="preserve"> (2022): Geschlechterperspektiven in der </w:t>
              </w:r>
              <w:proofErr w:type="spellStart"/>
              <w:r w:rsidRPr="004C5C05">
                <w:rPr>
                  <w:rFonts w:cs="Arial"/>
                </w:rPr>
                <w:t>Aozialen</w:t>
              </w:r>
              <w:proofErr w:type="spellEnd"/>
              <w:r w:rsidRPr="004C5C05">
                <w:rPr>
                  <w:rFonts w:cs="Arial"/>
                </w:rPr>
                <w:t xml:space="preserve"> Arbeit. </w:t>
              </w:r>
              <w:r w:rsidRPr="004C5C05">
                <w:rPr>
                  <w:rFonts w:cs="Arial"/>
                </w:rPr>
                <w:tab/>
                <w:t>Basiswissen und Konzepte. 2. Aufl. Schwalbach/</w:t>
              </w:r>
              <w:proofErr w:type="spellStart"/>
              <w:r w:rsidRPr="004C5C05">
                <w:rPr>
                  <w:rFonts w:cs="Arial"/>
                </w:rPr>
                <w:t>Ts</w:t>
              </w:r>
              <w:proofErr w:type="spellEnd"/>
              <w:r w:rsidRPr="004C5C05">
                <w:rPr>
                  <w:rFonts w:cs="Arial"/>
                </w:rPr>
                <w:t xml:space="preserve">.: Wochenschau </w:t>
              </w:r>
              <w:r w:rsidRPr="004C5C05">
                <w:rPr>
                  <w:rFonts w:cs="Arial"/>
                </w:rPr>
                <w:tab/>
                <w:t>(Grundlagen Sozialer Arbeit)</w:t>
              </w:r>
            </w:p>
            <w:p w14:paraId="32A02B3A" w14:textId="77777777" w:rsidR="00C92061" w:rsidRPr="004C5C05" w:rsidRDefault="00C92061" w:rsidP="00C92061">
              <w:pPr>
                <w:rPr>
                  <w:rFonts w:eastAsia="Times New Roman" w:cs="Arial"/>
                  <w:lang w:eastAsia="de-DE"/>
                </w:rPr>
              </w:pPr>
              <w:proofErr w:type="spellStart"/>
              <w:r w:rsidRPr="004C5C05">
                <w:rPr>
                  <w:rFonts w:eastAsia="Times New Roman" w:cs="Arial"/>
                  <w:lang w:eastAsia="de-DE"/>
                </w:rPr>
                <w:t>Flösser</w:t>
              </w:r>
              <w:proofErr w:type="spellEnd"/>
              <w:r w:rsidRPr="004C5C05">
                <w:rPr>
                  <w:rFonts w:eastAsia="Times New Roman" w:cs="Arial"/>
                  <w:lang w:eastAsia="de-DE"/>
                </w:rPr>
                <w:t>, Gaby; Wohlgemuth, Katja (201</w:t>
              </w:r>
              <w:r>
                <w:rPr>
                  <w:rFonts w:eastAsia="Times New Roman" w:cs="Arial"/>
                  <w:lang w:eastAsia="de-DE"/>
                </w:rPr>
                <w:t>8</w:t>
              </w:r>
              <w:r w:rsidRPr="004C5C05">
                <w:rPr>
                  <w:rFonts w:eastAsia="Times New Roman" w:cs="Arial"/>
                  <w:lang w:eastAsia="de-DE"/>
                </w:rPr>
                <w:t>): Soziale Kontrolle. In: Otto, Hans-Uwe;</w:t>
              </w:r>
              <w:r>
                <w:rPr>
                  <w:rFonts w:eastAsia="Times New Roman" w:cs="Arial"/>
                  <w:lang w:eastAsia="de-DE"/>
                </w:rPr>
                <w:tab/>
              </w:r>
              <w:r w:rsidRPr="004C5C05">
                <w:rPr>
                  <w:rFonts w:eastAsia="Times New Roman" w:cs="Arial"/>
                  <w:lang w:eastAsia="de-DE"/>
                </w:rPr>
                <w:t>Thiersch, Han</w:t>
              </w:r>
              <w:r>
                <w:rPr>
                  <w:rFonts w:eastAsia="Times New Roman" w:cs="Arial"/>
                  <w:lang w:eastAsia="de-DE"/>
                </w:rPr>
                <w:t>s; Treptow, Rainer; Ziegler, Holger</w:t>
              </w:r>
              <w:r w:rsidRPr="004C5C05">
                <w:rPr>
                  <w:rFonts w:eastAsia="Times New Roman" w:cs="Arial"/>
                  <w:lang w:eastAsia="de-DE"/>
                </w:rPr>
                <w:t xml:space="preserve"> (</w:t>
              </w:r>
              <w:proofErr w:type="spellStart"/>
              <w:r w:rsidRPr="004C5C05">
                <w:rPr>
                  <w:rFonts w:eastAsia="Times New Roman" w:cs="Arial"/>
                  <w:lang w:eastAsia="de-DE"/>
                </w:rPr>
                <w:t>Hg</w:t>
              </w:r>
              <w:proofErr w:type="spellEnd"/>
              <w:r w:rsidRPr="004C5C05">
                <w:rPr>
                  <w:rFonts w:eastAsia="Times New Roman" w:cs="Arial"/>
                  <w:lang w:eastAsia="de-DE"/>
                </w:rPr>
                <w:t xml:space="preserve">.): Handbuch Soziale </w:t>
              </w:r>
              <w:r>
                <w:rPr>
                  <w:rFonts w:eastAsia="Times New Roman" w:cs="Arial"/>
                  <w:lang w:eastAsia="de-DE"/>
                </w:rPr>
                <w:tab/>
              </w:r>
              <w:r w:rsidRPr="004C5C05">
                <w:rPr>
                  <w:rFonts w:eastAsia="Times New Roman" w:cs="Arial"/>
                  <w:lang w:eastAsia="de-DE"/>
                </w:rPr>
                <w:t>Arbeit</w:t>
              </w:r>
              <w:r>
                <w:rPr>
                  <w:rFonts w:eastAsia="Times New Roman" w:cs="Arial"/>
                  <w:lang w:eastAsia="de-DE"/>
                </w:rPr>
                <w:t>. Grundlagen der Sozialarbeit und Sozialpädagogik</w:t>
              </w:r>
              <w:r w:rsidRPr="004C5C05">
                <w:rPr>
                  <w:rFonts w:eastAsia="Times New Roman" w:cs="Arial"/>
                  <w:lang w:eastAsia="de-DE"/>
                </w:rPr>
                <w:t xml:space="preserve">, </w:t>
              </w:r>
              <w:r>
                <w:rPr>
                  <w:rFonts w:eastAsia="Times New Roman" w:cs="Arial"/>
                  <w:lang w:eastAsia="de-DE"/>
                </w:rPr>
                <w:t>6</w:t>
              </w:r>
              <w:r w:rsidRPr="004C5C05">
                <w:rPr>
                  <w:rFonts w:eastAsia="Times New Roman" w:cs="Arial"/>
                  <w:lang w:eastAsia="de-DE"/>
                </w:rPr>
                <w:t xml:space="preserve">. Aufl. München: </w:t>
              </w:r>
              <w:r>
                <w:rPr>
                  <w:rFonts w:eastAsia="Times New Roman" w:cs="Arial"/>
                  <w:lang w:eastAsia="de-DE"/>
                </w:rPr>
                <w:tab/>
              </w:r>
              <w:r w:rsidRPr="004C5C05">
                <w:rPr>
                  <w:rFonts w:eastAsia="Times New Roman" w:cs="Arial"/>
                  <w:lang w:eastAsia="de-DE"/>
                </w:rPr>
                <w:t>Ernst</w:t>
              </w:r>
              <w:r>
                <w:rPr>
                  <w:rFonts w:eastAsia="Times New Roman" w:cs="Arial"/>
                  <w:lang w:eastAsia="de-DE"/>
                </w:rPr>
                <w:t xml:space="preserve"> </w:t>
              </w:r>
              <w:r w:rsidRPr="004C5C05">
                <w:rPr>
                  <w:rFonts w:eastAsia="Times New Roman" w:cs="Arial"/>
                  <w:lang w:eastAsia="de-DE"/>
                </w:rPr>
                <w:t>Reinhardt, S. 14</w:t>
              </w:r>
              <w:r>
                <w:rPr>
                  <w:rFonts w:eastAsia="Times New Roman" w:cs="Arial"/>
                  <w:lang w:eastAsia="de-DE"/>
                </w:rPr>
                <w:t>67</w:t>
              </w:r>
              <w:r w:rsidRPr="004C5C05">
                <w:rPr>
                  <w:rFonts w:eastAsia="Times New Roman" w:cs="Arial"/>
                  <w:lang w:eastAsia="de-DE"/>
                </w:rPr>
                <w:t>-14</w:t>
              </w:r>
              <w:r>
                <w:rPr>
                  <w:rFonts w:eastAsia="Times New Roman" w:cs="Arial"/>
                  <w:lang w:eastAsia="de-DE"/>
                </w:rPr>
                <w:t>77</w:t>
              </w:r>
            </w:p>
            <w:p w14:paraId="0C634CB4" w14:textId="77777777" w:rsidR="00A61825" w:rsidRPr="004C5C05" w:rsidRDefault="00A61825" w:rsidP="00A61825">
              <w:pPr>
                <w:rPr>
                  <w:rFonts w:eastAsia="Times New Roman" w:cs="Arial"/>
                  <w:lang w:eastAsia="de-DE"/>
                </w:rPr>
              </w:pPr>
              <w:r>
                <w:rPr>
                  <w:rFonts w:cs="Arial"/>
                </w:rPr>
                <w:t xml:space="preserve">Lorenz, Walter (2018): Soziale Arbeit in Europa. In: </w:t>
              </w:r>
              <w:r w:rsidRPr="004C5C05">
                <w:rPr>
                  <w:rFonts w:eastAsia="Times New Roman" w:cs="Arial"/>
                  <w:lang w:eastAsia="de-DE"/>
                </w:rPr>
                <w:t xml:space="preserve">Otto, </w:t>
              </w:r>
              <w:proofErr w:type="spellStart"/>
              <w:r w:rsidRPr="004C5C05">
                <w:rPr>
                  <w:rFonts w:eastAsia="Times New Roman" w:cs="Arial"/>
                  <w:lang w:eastAsia="de-DE"/>
                </w:rPr>
                <w:t>Hans-</w:t>
              </w:r>
              <w:proofErr w:type="gramStart"/>
              <w:r w:rsidRPr="004C5C05">
                <w:rPr>
                  <w:rFonts w:eastAsia="Times New Roman" w:cs="Arial"/>
                  <w:lang w:eastAsia="de-DE"/>
                </w:rPr>
                <w:t>Uwe;Thiersch</w:t>
              </w:r>
              <w:proofErr w:type="spellEnd"/>
              <w:proofErr w:type="gramEnd"/>
              <w:r w:rsidRPr="004C5C05">
                <w:rPr>
                  <w:rFonts w:eastAsia="Times New Roman" w:cs="Arial"/>
                  <w:lang w:eastAsia="de-DE"/>
                </w:rPr>
                <w:t>, Han</w:t>
              </w:r>
              <w:r>
                <w:rPr>
                  <w:rFonts w:eastAsia="Times New Roman" w:cs="Arial"/>
                  <w:lang w:eastAsia="de-DE"/>
                </w:rPr>
                <w:t xml:space="preserve">s; </w:t>
              </w:r>
              <w:r>
                <w:rPr>
                  <w:rFonts w:eastAsia="Times New Roman" w:cs="Arial"/>
                  <w:lang w:eastAsia="de-DE"/>
                </w:rPr>
                <w:tab/>
                <w:t>Treptow, Rainer; Ziegler, Holger</w:t>
              </w:r>
              <w:r w:rsidRPr="004C5C05">
                <w:rPr>
                  <w:rFonts w:eastAsia="Times New Roman" w:cs="Arial"/>
                  <w:lang w:eastAsia="de-DE"/>
                </w:rPr>
                <w:t xml:space="preserve"> (</w:t>
              </w:r>
              <w:proofErr w:type="spellStart"/>
              <w:r w:rsidRPr="004C5C05">
                <w:rPr>
                  <w:rFonts w:eastAsia="Times New Roman" w:cs="Arial"/>
                  <w:lang w:eastAsia="de-DE"/>
                </w:rPr>
                <w:t>Hg</w:t>
              </w:r>
              <w:proofErr w:type="spellEnd"/>
              <w:r w:rsidRPr="004C5C05">
                <w:rPr>
                  <w:rFonts w:eastAsia="Times New Roman" w:cs="Arial"/>
                  <w:lang w:eastAsia="de-DE"/>
                </w:rPr>
                <w:t xml:space="preserve">.): Handbuch Soziale </w:t>
              </w:r>
              <w:r>
                <w:rPr>
                  <w:rFonts w:eastAsia="Times New Roman" w:cs="Arial"/>
                  <w:lang w:eastAsia="de-DE"/>
                </w:rPr>
                <w:tab/>
              </w:r>
              <w:r w:rsidRPr="004C5C05">
                <w:rPr>
                  <w:rFonts w:eastAsia="Times New Roman" w:cs="Arial"/>
                  <w:lang w:eastAsia="de-DE"/>
                </w:rPr>
                <w:t>Arbeit</w:t>
              </w:r>
              <w:r>
                <w:rPr>
                  <w:rFonts w:eastAsia="Times New Roman" w:cs="Arial"/>
                  <w:lang w:eastAsia="de-DE"/>
                </w:rPr>
                <w:t xml:space="preserve">. </w:t>
              </w:r>
              <w:r>
                <w:rPr>
                  <w:rFonts w:eastAsia="Times New Roman" w:cs="Arial"/>
                  <w:lang w:eastAsia="de-DE"/>
                </w:rPr>
                <w:tab/>
                <w:t>Grundlagen der Sozialarbeit und Sozialpädagogik</w:t>
              </w:r>
              <w:r w:rsidRPr="004C5C05">
                <w:rPr>
                  <w:rFonts w:eastAsia="Times New Roman" w:cs="Arial"/>
                  <w:lang w:eastAsia="de-DE"/>
                </w:rPr>
                <w:t xml:space="preserve">, </w:t>
              </w:r>
              <w:r>
                <w:rPr>
                  <w:rFonts w:eastAsia="Times New Roman" w:cs="Arial"/>
                  <w:lang w:eastAsia="de-DE"/>
                </w:rPr>
                <w:t>6</w:t>
              </w:r>
              <w:r w:rsidRPr="004C5C05">
                <w:rPr>
                  <w:rFonts w:eastAsia="Times New Roman" w:cs="Arial"/>
                  <w:lang w:eastAsia="de-DE"/>
                </w:rPr>
                <w:t>. Aufl. München: Ernst</w:t>
              </w:r>
              <w:r>
                <w:rPr>
                  <w:rFonts w:eastAsia="Times New Roman" w:cs="Arial"/>
                  <w:lang w:eastAsia="de-DE"/>
                </w:rPr>
                <w:t xml:space="preserve"> </w:t>
              </w:r>
              <w:r>
                <w:rPr>
                  <w:rFonts w:eastAsia="Times New Roman" w:cs="Arial"/>
                  <w:lang w:eastAsia="de-DE"/>
                </w:rPr>
                <w:tab/>
              </w:r>
              <w:r w:rsidRPr="004C5C05">
                <w:rPr>
                  <w:rFonts w:eastAsia="Times New Roman" w:cs="Arial"/>
                  <w:lang w:eastAsia="de-DE"/>
                </w:rPr>
                <w:t>Reinhardt, S. 14</w:t>
              </w:r>
              <w:r>
                <w:rPr>
                  <w:rFonts w:eastAsia="Times New Roman" w:cs="Arial"/>
                  <w:lang w:eastAsia="de-DE"/>
                </w:rPr>
                <w:t>08</w:t>
              </w:r>
              <w:r w:rsidRPr="004C5C05">
                <w:rPr>
                  <w:rFonts w:eastAsia="Times New Roman" w:cs="Arial"/>
                  <w:lang w:eastAsia="de-DE"/>
                </w:rPr>
                <w:t>-14</w:t>
              </w:r>
              <w:r>
                <w:rPr>
                  <w:rFonts w:eastAsia="Times New Roman" w:cs="Arial"/>
                  <w:lang w:eastAsia="de-DE"/>
                </w:rPr>
                <w:t>14</w:t>
              </w:r>
            </w:p>
            <w:p w14:paraId="1B9D1E86" w14:textId="7EBB51F4" w:rsidR="001509B0" w:rsidRPr="004C5C05" w:rsidRDefault="00C963B3" w:rsidP="004C5C05">
              <w:pPr>
                <w:pStyle w:val="Literaturverzeichnis"/>
                <w:ind w:left="720" w:hanging="720"/>
                <w:rPr>
                  <w:rFonts w:cs="Arial"/>
                </w:rPr>
              </w:pPr>
              <w:r w:rsidRPr="004C5C05">
                <w:rPr>
                  <w:rFonts w:cs="Arial"/>
                </w:rPr>
                <w:t>Lutz, Ronald (2008)</w:t>
              </w:r>
              <w:r w:rsidR="00B81A37" w:rsidRPr="004C5C05">
                <w:rPr>
                  <w:rFonts w:cs="Arial"/>
                </w:rPr>
                <w:t>:</w:t>
              </w:r>
              <w:r w:rsidRPr="004C5C05">
                <w:rPr>
                  <w:rFonts w:cs="Arial"/>
                </w:rPr>
                <w:t xml:space="preserve"> </w:t>
              </w:r>
              <w:r w:rsidR="001509B0" w:rsidRPr="004C5C05">
                <w:rPr>
                  <w:rFonts w:cs="Arial"/>
                </w:rPr>
                <w:t>Perspektiven der Sozialen Arbeit. In: Politik und Zeitgeschichte. Wandel der Sozialen Arbeit. Jg. 2008 (Heft 12/13)</w:t>
              </w:r>
              <w:r w:rsidR="0062544F" w:rsidRPr="004C5C05">
                <w:rPr>
                  <w:rFonts w:cs="Arial"/>
                </w:rPr>
                <w:t>, S. 4</w:t>
              </w:r>
            </w:p>
            <w:p w14:paraId="0DFA0036" w14:textId="5397AFB2" w:rsidR="00F32A1D" w:rsidRPr="004C5C05" w:rsidRDefault="00A61825" w:rsidP="004C5C05">
              <w:pPr>
                <w:rPr>
                  <w:rFonts w:cs="Arial"/>
                </w:rPr>
              </w:pPr>
            </w:p>
          </w:sdtContent>
        </w:sdt>
      </w:sdtContent>
    </w:sdt>
    <w:p w14:paraId="2021C3AC" w14:textId="02E14D1F" w:rsidR="00F32A1D" w:rsidRPr="00851311" w:rsidRDefault="00F32A1D" w:rsidP="00F32A1D"/>
    <w:sectPr w:rsidR="00F32A1D" w:rsidRPr="008513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55"/>
    <w:rsid w:val="00083DBA"/>
    <w:rsid w:val="000B10C0"/>
    <w:rsid w:val="000B5D52"/>
    <w:rsid w:val="001509B0"/>
    <w:rsid w:val="001F6D8C"/>
    <w:rsid w:val="0025220A"/>
    <w:rsid w:val="0032229B"/>
    <w:rsid w:val="00322F84"/>
    <w:rsid w:val="003371A7"/>
    <w:rsid w:val="00385142"/>
    <w:rsid w:val="003D3C0F"/>
    <w:rsid w:val="003F56DA"/>
    <w:rsid w:val="004566F6"/>
    <w:rsid w:val="004B104B"/>
    <w:rsid w:val="004B6EF9"/>
    <w:rsid w:val="004C5C05"/>
    <w:rsid w:val="00575AC1"/>
    <w:rsid w:val="005965B3"/>
    <w:rsid w:val="005F2205"/>
    <w:rsid w:val="0062544F"/>
    <w:rsid w:val="006A27EC"/>
    <w:rsid w:val="0080244E"/>
    <w:rsid w:val="008035B0"/>
    <w:rsid w:val="00803A99"/>
    <w:rsid w:val="00851311"/>
    <w:rsid w:val="008A1210"/>
    <w:rsid w:val="00987CBF"/>
    <w:rsid w:val="00A15755"/>
    <w:rsid w:val="00A61825"/>
    <w:rsid w:val="00A673FC"/>
    <w:rsid w:val="00A8348A"/>
    <w:rsid w:val="00AE3FCF"/>
    <w:rsid w:val="00B81A37"/>
    <w:rsid w:val="00BD33A3"/>
    <w:rsid w:val="00C80509"/>
    <w:rsid w:val="00C92061"/>
    <w:rsid w:val="00C963B3"/>
    <w:rsid w:val="00C967B6"/>
    <w:rsid w:val="00CA3DFD"/>
    <w:rsid w:val="00CF10B7"/>
    <w:rsid w:val="00D01D3A"/>
    <w:rsid w:val="00D30FF0"/>
    <w:rsid w:val="00D402A8"/>
    <w:rsid w:val="00DD7221"/>
    <w:rsid w:val="00E017D8"/>
    <w:rsid w:val="00E749F2"/>
    <w:rsid w:val="00F13B3E"/>
    <w:rsid w:val="00F32A1D"/>
    <w:rsid w:val="00F566C5"/>
    <w:rsid w:val="00FC7437"/>
    <w:rsid w:val="00FE101B"/>
    <w:rsid w:val="00FF2DB0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F6179A"/>
  <w15:chartTrackingRefBased/>
  <w15:docId w15:val="{867B97DE-BCD4-5E43-82EA-B0EC3844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3DBA"/>
    <w:pPr>
      <w:spacing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65B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65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de-DE"/>
    </w:rPr>
  </w:style>
  <w:style w:type="paragraph" w:styleId="Literaturverzeichnis">
    <w:name w:val="Bibliography"/>
    <w:basedOn w:val="Standard"/>
    <w:next w:val="Standard"/>
    <w:uiPriority w:val="37"/>
    <w:unhideWhenUsed/>
    <w:rsid w:val="005965B3"/>
  </w:style>
  <w:style w:type="character" w:customStyle="1" w:styleId="markedcontent">
    <w:name w:val="markedcontent"/>
    <w:basedOn w:val="Absatz-Standardschriftart"/>
    <w:rsid w:val="00C80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Lut08</b:Tag>
    <b:SourceType>ArticleInAPeriodical</b:SourceType>
    <b:Guid>{F2C47205-B475-AB45-B0B6-FBFB86EF0E33}</b:Guid>
    <b:Author>
      <b:Author>
        <b:NameList>
          <b:Person>
            <b:Last>Lutz</b:Last>
            <b:First>Ronald</b:First>
          </b:Person>
        </b:NameList>
      </b:Author>
    </b:Author>
    <b:Title>Perspektive der Sozialen Arbeit</b:Title>
    <b:Year>2008</b:Year>
    <b:PeriodicalTitle>Aus Politik und Zeitgeschichte</b:PeriodicalTitle>
    <b:Month>März</b:Month>
    <b:Day>17.</b:Day>
    <b:Pages>4</b:Pages>
    <b:RefOrder>1</b:RefOrder>
  </b:Source>
</b:Sources>
</file>

<file path=customXml/itemProps1.xml><?xml version="1.0" encoding="utf-8"?>
<ds:datastoreItem xmlns:ds="http://schemas.openxmlformats.org/officeDocument/2006/customXml" ds:itemID="{987E7DCC-5C2F-ED48-B66C-FC73F3D2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Herzog, Leonie-Shirin</dc:creator>
  <cp:keywords/>
  <dc:description/>
  <cp:lastModifiedBy>Herzog, Leonie-Shirin</cp:lastModifiedBy>
  <cp:revision>48</cp:revision>
  <dcterms:created xsi:type="dcterms:W3CDTF">2022-04-28T08:55:00Z</dcterms:created>
  <dcterms:modified xsi:type="dcterms:W3CDTF">2022-05-05T09:14:00Z</dcterms:modified>
</cp:coreProperties>
</file>