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EBBA" w14:textId="5973FB36" w:rsidR="00E46566" w:rsidRDefault="00E46566" w:rsidP="00E46566">
      <w:pPr>
        <w:spacing w:line="360" w:lineRule="auto"/>
        <w:jc w:val="center"/>
      </w:pPr>
      <w:r w:rsidRPr="00E46566">
        <w:rPr>
          <w:sz w:val="36"/>
          <w:szCs w:val="32"/>
        </w:rPr>
        <w:t>Konzeption der Umsetzungsform</w:t>
      </w:r>
    </w:p>
    <w:p w14:paraId="51792759" w14:textId="2FE76E47" w:rsidR="00E46566" w:rsidRDefault="00E46566" w:rsidP="00E46566">
      <w:pPr>
        <w:spacing w:line="360" w:lineRule="auto"/>
      </w:pPr>
    </w:p>
    <w:p w14:paraId="5C7E77AD" w14:textId="1D176329" w:rsidR="00E46566" w:rsidRDefault="00E46566" w:rsidP="00820886">
      <w:pPr>
        <w:spacing w:after="0" w:line="360" w:lineRule="auto"/>
      </w:pPr>
      <w:r>
        <w:t xml:space="preserve">Thema: </w:t>
      </w:r>
      <w:r w:rsidR="00820886">
        <w:t>Aufb</w:t>
      </w:r>
      <w:r>
        <w:t>au von Salzen (als Wiederholung)</w:t>
      </w:r>
    </w:p>
    <w:p w14:paraId="58F95AB6" w14:textId="075BF6EE" w:rsidR="00E46566" w:rsidRDefault="00E46566" w:rsidP="00820886">
      <w:pPr>
        <w:spacing w:after="0" w:line="360" w:lineRule="auto"/>
      </w:pPr>
      <w:r>
        <w:t>Primär-auditive Umsetzungsform: Hörbuch</w:t>
      </w:r>
    </w:p>
    <w:p w14:paraId="6E1CC945" w14:textId="48F2DB95" w:rsidR="00E46566" w:rsidRDefault="00E46566" w:rsidP="00820886">
      <w:pPr>
        <w:spacing w:after="0" w:line="360" w:lineRule="auto"/>
      </w:pPr>
      <w:r>
        <w:t>Begründung:</w:t>
      </w:r>
    </w:p>
    <w:p w14:paraId="696264D4" w14:textId="2DD221EC" w:rsidR="00E46566" w:rsidRDefault="00820886" w:rsidP="009E34F8">
      <w:pPr>
        <w:spacing w:line="360" w:lineRule="auto"/>
        <w:ind w:left="284"/>
        <w:jc w:val="both"/>
      </w:pPr>
      <w:r>
        <w:t xml:space="preserve">Durch das Hörbuch soll der </w:t>
      </w:r>
      <w:r w:rsidR="009E34F8">
        <w:t>Aufbau von Salzen aus</w:t>
      </w:r>
      <w:r>
        <w:t xml:space="preserve"> vorherigen Chemiestunden zusammengefasst wiederholt werden um </w:t>
      </w:r>
      <w:r w:rsidR="009E34F8">
        <w:t xml:space="preserve">die Antwort auf </w:t>
      </w:r>
      <w:r>
        <w:t>die Frage „Wie funktioniert das Lösen von Salzen</w:t>
      </w:r>
      <w:r w:rsidR="009E34F8">
        <w:t>?</w:t>
      </w:r>
      <w:r>
        <w:t xml:space="preserve">“ </w:t>
      </w:r>
      <w:r w:rsidR="009E34F8">
        <w:t>anschließend zu erarbeiten</w:t>
      </w:r>
      <w:r>
        <w:t>.</w:t>
      </w:r>
      <w:r w:rsidR="009E34F8">
        <w:t xml:space="preserve"> Es soll ein Hörbuch für diese Wiederholung genutzt werden, um einerseits die dafür benötigte Zeit konkret festzulegen und somit eine ausgiebige mündliche Wiederholung zu </w:t>
      </w:r>
      <w:r w:rsidR="008B1AF2">
        <w:t>umgehen</w:t>
      </w:r>
      <w:r w:rsidR="009E34F8">
        <w:t xml:space="preserve"> und andererseits, um die SuS durch den Wechsel von Medien im Unterricht zu motivieren. So kann man als Lehrkraft seine zur Verfügung stehende Unterrichtszeit besser planen und</w:t>
      </w:r>
      <w:r w:rsidR="00365E6B">
        <w:t xml:space="preserve"> schafft zu Beginn eine Unterrichtsphase, in der die SuS aufmerksam zuhören.</w:t>
      </w:r>
    </w:p>
    <w:p w14:paraId="716C2BCE" w14:textId="77777777" w:rsidR="009A68A7" w:rsidRDefault="009A68A7" w:rsidP="009E34F8">
      <w:pPr>
        <w:spacing w:line="360" w:lineRule="auto"/>
        <w:ind w:left="284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4"/>
        <w:gridCol w:w="5518"/>
      </w:tblGrid>
      <w:tr w:rsidR="00365E6B" w14:paraId="02298452" w14:textId="77777777" w:rsidTr="00777115">
        <w:tc>
          <w:tcPr>
            <w:tcW w:w="3544" w:type="dxa"/>
            <w:tcBorders>
              <w:top w:val="nil"/>
              <w:left w:val="nil"/>
            </w:tcBorders>
          </w:tcPr>
          <w:p w14:paraId="3B5B4E84" w14:textId="7195C186" w:rsidR="00365E6B" w:rsidRPr="00365E6B" w:rsidRDefault="00DF0374" w:rsidP="00365E6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</w:t>
            </w:r>
          </w:p>
        </w:tc>
        <w:tc>
          <w:tcPr>
            <w:tcW w:w="5518" w:type="dxa"/>
            <w:tcBorders>
              <w:top w:val="nil"/>
              <w:right w:val="nil"/>
            </w:tcBorders>
          </w:tcPr>
          <w:p w14:paraId="38DFF0E6" w14:textId="410AC5A5" w:rsidR="00365E6B" w:rsidRPr="00365E6B" w:rsidRDefault="00365E6B" w:rsidP="00365E6B">
            <w:pPr>
              <w:spacing w:line="360" w:lineRule="auto"/>
              <w:jc w:val="center"/>
              <w:rPr>
                <w:b/>
                <w:bCs/>
              </w:rPr>
            </w:pPr>
            <w:r w:rsidRPr="00365E6B">
              <w:rPr>
                <w:b/>
                <w:bCs/>
              </w:rPr>
              <w:t>Erklärung</w:t>
            </w:r>
          </w:p>
        </w:tc>
      </w:tr>
      <w:tr w:rsidR="00365E6B" w14:paraId="30F2F97C" w14:textId="77777777" w:rsidTr="00777115">
        <w:tc>
          <w:tcPr>
            <w:tcW w:w="3544" w:type="dxa"/>
            <w:tcBorders>
              <w:left w:val="nil"/>
            </w:tcBorders>
          </w:tcPr>
          <w:p w14:paraId="0DC5EC53" w14:textId="4753DA1D" w:rsidR="00365E6B" w:rsidRDefault="00777115" w:rsidP="00365E6B">
            <w:pPr>
              <w:spacing w:line="360" w:lineRule="auto"/>
              <w:jc w:val="both"/>
            </w:pPr>
            <w:r>
              <w:t>Titel: Aufbau von Salzen</w:t>
            </w:r>
          </w:p>
        </w:tc>
        <w:tc>
          <w:tcPr>
            <w:tcW w:w="5518" w:type="dxa"/>
            <w:tcBorders>
              <w:right w:val="nil"/>
            </w:tcBorders>
          </w:tcPr>
          <w:p w14:paraId="7D07D7E9" w14:textId="66503037" w:rsidR="00365E6B" w:rsidRDefault="00777115" w:rsidP="00365E6B">
            <w:pPr>
              <w:spacing w:line="360" w:lineRule="auto"/>
              <w:jc w:val="both"/>
            </w:pPr>
            <w:r>
              <w:t>Gibt Ausblick über den Inhalt des Hörbuchs.</w:t>
            </w:r>
          </w:p>
        </w:tc>
      </w:tr>
      <w:tr w:rsidR="00365E6B" w14:paraId="61B60350" w14:textId="77777777" w:rsidTr="00777115">
        <w:tc>
          <w:tcPr>
            <w:tcW w:w="3544" w:type="dxa"/>
            <w:tcBorders>
              <w:left w:val="nil"/>
            </w:tcBorders>
          </w:tcPr>
          <w:p w14:paraId="7459DCFD" w14:textId="7DB81106" w:rsidR="00365E6B" w:rsidRDefault="00777115" w:rsidP="00365E6B">
            <w:pPr>
              <w:spacing w:line="360" w:lineRule="auto"/>
              <w:jc w:val="both"/>
            </w:pPr>
            <w:r>
              <w:t>Vorstellung des Problems: Lösen von Kochsalz in Wasser</w:t>
            </w:r>
          </w:p>
        </w:tc>
        <w:tc>
          <w:tcPr>
            <w:tcW w:w="5518" w:type="dxa"/>
            <w:tcBorders>
              <w:right w:val="nil"/>
            </w:tcBorders>
          </w:tcPr>
          <w:p w14:paraId="367FD909" w14:textId="0F911DE8" w:rsidR="00365E6B" w:rsidRDefault="00777115" w:rsidP="00365E6B">
            <w:pPr>
              <w:spacing w:line="360" w:lineRule="auto"/>
              <w:jc w:val="both"/>
            </w:pPr>
            <w:r>
              <w:t xml:space="preserve">Stellt das Phänomen, das es zu klären gilt und </w:t>
            </w:r>
            <w:r w:rsidR="008B1AF2">
              <w:t>b</w:t>
            </w:r>
            <w:r>
              <w:t>egründet die Notwendigkeit der Wiederholung vom Aufbau der Salze.</w:t>
            </w:r>
          </w:p>
        </w:tc>
      </w:tr>
      <w:tr w:rsidR="00365E6B" w14:paraId="2111372C" w14:textId="77777777" w:rsidTr="00777115">
        <w:tc>
          <w:tcPr>
            <w:tcW w:w="3544" w:type="dxa"/>
            <w:tcBorders>
              <w:left w:val="nil"/>
            </w:tcBorders>
          </w:tcPr>
          <w:p w14:paraId="1EA9F41F" w14:textId="1C5918F7" w:rsidR="00365E6B" w:rsidRDefault="00777115" w:rsidP="00365E6B">
            <w:pPr>
              <w:spacing w:line="360" w:lineRule="auto"/>
              <w:jc w:val="both"/>
            </w:pPr>
            <w:r>
              <w:t>Informationsinput zum Aufbau der Salze</w:t>
            </w:r>
          </w:p>
        </w:tc>
        <w:tc>
          <w:tcPr>
            <w:tcW w:w="5518" w:type="dxa"/>
            <w:tcBorders>
              <w:right w:val="nil"/>
            </w:tcBorders>
          </w:tcPr>
          <w:p w14:paraId="79071DDA" w14:textId="562D95A1" w:rsidR="00777115" w:rsidRDefault="00777115" w:rsidP="00365E6B">
            <w:pPr>
              <w:spacing w:line="360" w:lineRule="auto"/>
              <w:jc w:val="both"/>
            </w:pPr>
            <w:r>
              <w:t xml:space="preserve">Hier kommt der eigentliche Inhalt </w:t>
            </w:r>
            <w:r w:rsidR="008B1AF2">
              <w:t>des Hörbuches, die kurze Zusammenfassung vom Aufbau der Salze am Bsp. von Kochsalz. Es wird erklärt, woraus Kochsalz besteht und wie die Struktur des Stoffs aussieht.</w:t>
            </w:r>
            <w:r w:rsidR="009A68A7">
              <w:t xml:space="preserve"> Außerdem werden aus dem Bau einzelne Eigenschaften abgeleitet.</w:t>
            </w:r>
          </w:p>
        </w:tc>
      </w:tr>
      <w:tr w:rsidR="00365E6B" w14:paraId="5E8C8918" w14:textId="77777777" w:rsidTr="00777115">
        <w:tc>
          <w:tcPr>
            <w:tcW w:w="3544" w:type="dxa"/>
            <w:tcBorders>
              <w:left w:val="nil"/>
              <w:bottom w:val="single" w:sz="4" w:space="0" w:color="auto"/>
            </w:tcBorders>
          </w:tcPr>
          <w:p w14:paraId="2C7E59F1" w14:textId="324B3CAB" w:rsidR="00365E6B" w:rsidRDefault="008B1AF2" w:rsidP="00365E6B">
            <w:pPr>
              <w:spacing w:line="360" w:lineRule="auto"/>
              <w:jc w:val="both"/>
            </w:pPr>
            <w:r>
              <w:t>Überleitung zum Einfluss des Wassers auf das Salz</w:t>
            </w:r>
          </w:p>
        </w:tc>
        <w:tc>
          <w:tcPr>
            <w:tcW w:w="5518" w:type="dxa"/>
            <w:tcBorders>
              <w:bottom w:val="single" w:sz="4" w:space="0" w:color="auto"/>
              <w:right w:val="nil"/>
            </w:tcBorders>
          </w:tcPr>
          <w:p w14:paraId="064D4CEB" w14:textId="2E01B350" w:rsidR="00365E6B" w:rsidRDefault="008B1AF2" w:rsidP="00365E6B">
            <w:pPr>
              <w:spacing w:line="360" w:lineRule="auto"/>
              <w:jc w:val="both"/>
            </w:pPr>
            <w:r>
              <w:t>Gibt</w:t>
            </w:r>
            <w:r w:rsidR="009A68A7">
              <w:t xml:space="preserve"> einen Ausblick für den weiteren Verlauf der Stunde, wodurch die SuS erfahren was sie erwartet. </w:t>
            </w:r>
          </w:p>
        </w:tc>
      </w:tr>
    </w:tbl>
    <w:p w14:paraId="0A957DFE" w14:textId="77777777" w:rsidR="00365E6B" w:rsidRPr="00E46566" w:rsidRDefault="00365E6B" w:rsidP="00365E6B">
      <w:pPr>
        <w:spacing w:line="360" w:lineRule="auto"/>
        <w:jc w:val="both"/>
      </w:pPr>
    </w:p>
    <w:sectPr w:rsidR="00365E6B" w:rsidRPr="00E465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5AC7"/>
    <w:multiLevelType w:val="hybridMultilevel"/>
    <w:tmpl w:val="779AD34E"/>
    <w:lvl w:ilvl="0" w:tplc="D8583E8E">
      <w:start w:val="1"/>
      <w:numFmt w:val="decimal"/>
      <w:lvlText w:val="%1"/>
      <w:lvlJc w:val="left"/>
      <w:pPr>
        <w:ind w:left="515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de-DE" w:eastAsia="en-US" w:bidi="ar-SA"/>
      </w:rPr>
    </w:lvl>
    <w:lvl w:ilvl="1" w:tplc="1E7CCB72">
      <w:numFmt w:val="bullet"/>
      <w:lvlText w:val="•"/>
      <w:lvlJc w:val="left"/>
      <w:pPr>
        <w:ind w:left="1426" w:hanging="399"/>
      </w:pPr>
      <w:rPr>
        <w:lang w:val="de-DE" w:eastAsia="en-US" w:bidi="ar-SA"/>
      </w:rPr>
    </w:lvl>
    <w:lvl w:ilvl="2" w:tplc="72A46904">
      <w:numFmt w:val="bullet"/>
      <w:lvlText w:val="•"/>
      <w:lvlJc w:val="left"/>
      <w:pPr>
        <w:ind w:left="2332" w:hanging="399"/>
      </w:pPr>
      <w:rPr>
        <w:lang w:val="de-DE" w:eastAsia="en-US" w:bidi="ar-SA"/>
      </w:rPr>
    </w:lvl>
    <w:lvl w:ilvl="3" w:tplc="22629314">
      <w:numFmt w:val="bullet"/>
      <w:lvlText w:val="•"/>
      <w:lvlJc w:val="left"/>
      <w:pPr>
        <w:ind w:left="3239" w:hanging="399"/>
      </w:pPr>
      <w:rPr>
        <w:lang w:val="de-DE" w:eastAsia="en-US" w:bidi="ar-SA"/>
      </w:rPr>
    </w:lvl>
    <w:lvl w:ilvl="4" w:tplc="ECD098E0">
      <w:numFmt w:val="bullet"/>
      <w:lvlText w:val="•"/>
      <w:lvlJc w:val="left"/>
      <w:pPr>
        <w:ind w:left="4145" w:hanging="399"/>
      </w:pPr>
      <w:rPr>
        <w:lang w:val="de-DE" w:eastAsia="en-US" w:bidi="ar-SA"/>
      </w:rPr>
    </w:lvl>
    <w:lvl w:ilvl="5" w:tplc="4D866EBE">
      <w:numFmt w:val="bullet"/>
      <w:lvlText w:val="•"/>
      <w:lvlJc w:val="left"/>
      <w:pPr>
        <w:ind w:left="5052" w:hanging="399"/>
      </w:pPr>
      <w:rPr>
        <w:lang w:val="de-DE" w:eastAsia="en-US" w:bidi="ar-SA"/>
      </w:rPr>
    </w:lvl>
    <w:lvl w:ilvl="6" w:tplc="C7E2E234">
      <w:numFmt w:val="bullet"/>
      <w:lvlText w:val="•"/>
      <w:lvlJc w:val="left"/>
      <w:pPr>
        <w:ind w:left="5958" w:hanging="399"/>
      </w:pPr>
      <w:rPr>
        <w:lang w:val="de-DE" w:eastAsia="en-US" w:bidi="ar-SA"/>
      </w:rPr>
    </w:lvl>
    <w:lvl w:ilvl="7" w:tplc="64D84F24">
      <w:numFmt w:val="bullet"/>
      <w:lvlText w:val="•"/>
      <w:lvlJc w:val="left"/>
      <w:pPr>
        <w:ind w:left="6864" w:hanging="399"/>
      </w:pPr>
      <w:rPr>
        <w:lang w:val="de-DE" w:eastAsia="en-US" w:bidi="ar-SA"/>
      </w:rPr>
    </w:lvl>
    <w:lvl w:ilvl="8" w:tplc="7264D290">
      <w:numFmt w:val="bullet"/>
      <w:lvlText w:val="•"/>
      <w:lvlJc w:val="left"/>
      <w:pPr>
        <w:ind w:left="7771" w:hanging="399"/>
      </w:pPr>
      <w:rPr>
        <w:lang w:val="de-DE" w:eastAsia="en-US" w:bidi="ar-SA"/>
      </w:rPr>
    </w:lvl>
  </w:abstractNum>
  <w:abstractNum w:abstractNumId="1" w15:restartNumberingAfterBreak="0">
    <w:nsid w:val="451C055A"/>
    <w:multiLevelType w:val="multilevel"/>
    <w:tmpl w:val="2DAA43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4EE2A99"/>
    <w:multiLevelType w:val="multilevel"/>
    <w:tmpl w:val="0C6C10A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66"/>
    <w:rsid w:val="00365E6B"/>
    <w:rsid w:val="00763F52"/>
    <w:rsid w:val="00777115"/>
    <w:rsid w:val="008159B8"/>
    <w:rsid w:val="00820886"/>
    <w:rsid w:val="00880041"/>
    <w:rsid w:val="008B1AF2"/>
    <w:rsid w:val="009A68A7"/>
    <w:rsid w:val="009E34F8"/>
    <w:rsid w:val="00DF0374"/>
    <w:rsid w:val="00E46566"/>
    <w:rsid w:val="00E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F9E7"/>
  <w15:chartTrackingRefBased/>
  <w15:docId w15:val="{43EFC201-B191-4987-AF9B-D346F5F8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02F1"/>
    <w:rPr>
      <w:rFonts w:ascii="Arial" w:eastAsiaTheme="minorEastAsia" w:hAnsi="Arial"/>
      <w:sz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59B8"/>
    <w:pPr>
      <w:keepNext/>
      <w:keepLines/>
      <w:numPr>
        <w:numId w:val="9"/>
      </w:numPr>
      <w:spacing w:before="24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02F1"/>
    <w:pPr>
      <w:keepNext/>
      <w:keepLines/>
      <w:numPr>
        <w:ilvl w:val="1"/>
        <w:numId w:val="1"/>
      </w:numPr>
      <w:spacing w:after="120" w:line="360" w:lineRule="auto"/>
      <w:ind w:left="578" w:hanging="578"/>
      <w:jc w:val="both"/>
      <w:outlineLvl w:val="1"/>
    </w:pPr>
    <w:rPr>
      <w:rFonts w:eastAsiaTheme="majorEastAsia" w:cstheme="majorBidi"/>
      <w:b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59B8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59B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02F1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041"/>
    <w:rPr>
      <w:rFonts w:ascii="Arial" w:eastAsiaTheme="majorEastAsia" w:hAnsi="Arial" w:cstheme="majorBidi"/>
      <w:sz w:val="24"/>
      <w:szCs w:val="24"/>
    </w:rPr>
  </w:style>
  <w:style w:type="table" w:styleId="Tabellenraster">
    <w:name w:val="Table Grid"/>
    <w:basedOn w:val="NormaleTabelle"/>
    <w:uiPriority w:val="39"/>
    <w:rsid w:val="0036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Feder, Lukas</dc:creator>
  <cp:keywords/>
  <dc:description/>
  <cp:lastModifiedBy>Feder, Lukas</cp:lastModifiedBy>
  <cp:revision>1</cp:revision>
  <dcterms:created xsi:type="dcterms:W3CDTF">2022-04-02T15:42:00Z</dcterms:created>
  <dcterms:modified xsi:type="dcterms:W3CDTF">2022-04-02T16:30:00Z</dcterms:modified>
</cp:coreProperties>
</file>