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heme="minorHAnsi" w:hAnsi="Times New Roman" w:cstheme="minorBidi"/>
          <w:color w:val="auto"/>
          <w:sz w:val="22"/>
          <w:szCs w:val="22"/>
          <w:lang w:eastAsia="en-US"/>
        </w:rPr>
        <w:id w:val="-716511063"/>
        <w:docPartObj>
          <w:docPartGallery w:val="Table of Contents"/>
          <w:docPartUnique/>
        </w:docPartObj>
      </w:sdtPr>
      <w:sdtEndPr>
        <w:rPr>
          <w:b/>
          <w:bCs/>
        </w:rPr>
      </w:sdtEndPr>
      <w:sdtContent>
        <w:p w14:paraId="7593B8EF" w14:textId="68ADB280" w:rsidR="006010C3" w:rsidRDefault="006010C3">
          <w:pPr>
            <w:pStyle w:val="Inhaltsverzeichnisberschrift"/>
          </w:pPr>
          <w:r>
            <w:t>Inhaltsverzeichnis</w:t>
          </w:r>
        </w:p>
        <w:p w14:paraId="2F906B87" w14:textId="31725205" w:rsidR="006010C3" w:rsidRDefault="006010C3">
          <w:pPr>
            <w:pStyle w:val="Verzeichnis1"/>
            <w:tabs>
              <w:tab w:val="left" w:pos="440"/>
              <w:tab w:val="right" w:leader="dot" w:pos="9062"/>
            </w:tabs>
            <w:rPr>
              <w:rFonts w:asciiTheme="minorHAnsi" w:eastAsiaTheme="minorEastAsia" w:hAnsiTheme="minorHAnsi"/>
              <w:noProof/>
              <w:lang w:eastAsia="de-DE"/>
            </w:rPr>
          </w:pPr>
          <w:r>
            <w:fldChar w:fldCharType="begin"/>
          </w:r>
          <w:r>
            <w:instrText xml:space="preserve"> TOC \o "1-3" \h \z \u </w:instrText>
          </w:r>
          <w:r>
            <w:fldChar w:fldCharType="separate"/>
          </w:r>
          <w:hyperlink w:anchor="_Toc65169789" w:history="1">
            <w:r w:rsidRPr="00585733">
              <w:rPr>
                <w:rStyle w:val="Hyperlink"/>
                <w:noProof/>
              </w:rPr>
              <w:t>1</w:t>
            </w:r>
            <w:r>
              <w:rPr>
                <w:rFonts w:asciiTheme="minorHAnsi" w:eastAsiaTheme="minorEastAsia" w:hAnsiTheme="minorHAnsi"/>
                <w:noProof/>
                <w:lang w:eastAsia="de-DE"/>
              </w:rPr>
              <w:tab/>
            </w:r>
            <w:r w:rsidRPr="00585733">
              <w:rPr>
                <w:rStyle w:val="Hyperlink"/>
                <w:noProof/>
              </w:rPr>
              <w:t>Einführung</w:t>
            </w:r>
            <w:r>
              <w:rPr>
                <w:noProof/>
                <w:webHidden/>
              </w:rPr>
              <w:tab/>
            </w:r>
            <w:r>
              <w:rPr>
                <w:noProof/>
                <w:webHidden/>
              </w:rPr>
              <w:fldChar w:fldCharType="begin"/>
            </w:r>
            <w:r>
              <w:rPr>
                <w:noProof/>
                <w:webHidden/>
              </w:rPr>
              <w:instrText xml:space="preserve"> PAGEREF _Toc65169789 \h </w:instrText>
            </w:r>
            <w:r>
              <w:rPr>
                <w:noProof/>
                <w:webHidden/>
              </w:rPr>
            </w:r>
            <w:r>
              <w:rPr>
                <w:noProof/>
                <w:webHidden/>
              </w:rPr>
              <w:fldChar w:fldCharType="separate"/>
            </w:r>
            <w:r w:rsidR="00131F75">
              <w:rPr>
                <w:noProof/>
                <w:webHidden/>
              </w:rPr>
              <w:t>2</w:t>
            </w:r>
            <w:r>
              <w:rPr>
                <w:noProof/>
                <w:webHidden/>
              </w:rPr>
              <w:fldChar w:fldCharType="end"/>
            </w:r>
          </w:hyperlink>
        </w:p>
        <w:p w14:paraId="5279F1DC" w14:textId="1EEB69BC" w:rsidR="006010C3" w:rsidRDefault="00AC4A74">
          <w:pPr>
            <w:pStyle w:val="Verzeichnis1"/>
            <w:tabs>
              <w:tab w:val="left" w:pos="440"/>
              <w:tab w:val="right" w:leader="dot" w:pos="9062"/>
            </w:tabs>
            <w:rPr>
              <w:rFonts w:asciiTheme="minorHAnsi" w:eastAsiaTheme="minorEastAsia" w:hAnsiTheme="minorHAnsi"/>
              <w:noProof/>
              <w:lang w:eastAsia="de-DE"/>
            </w:rPr>
          </w:pPr>
          <w:hyperlink w:anchor="_Toc65169790" w:history="1">
            <w:r w:rsidR="006010C3" w:rsidRPr="00585733">
              <w:rPr>
                <w:rStyle w:val="Hyperlink"/>
                <w:noProof/>
              </w:rPr>
              <w:t>2</w:t>
            </w:r>
            <w:r w:rsidR="006010C3">
              <w:rPr>
                <w:rFonts w:asciiTheme="minorHAnsi" w:eastAsiaTheme="minorEastAsia" w:hAnsiTheme="minorHAnsi"/>
                <w:noProof/>
                <w:lang w:eastAsia="de-DE"/>
              </w:rPr>
              <w:tab/>
            </w:r>
            <w:r w:rsidR="006010C3" w:rsidRPr="00585733">
              <w:rPr>
                <w:rStyle w:val="Hyperlink"/>
                <w:noProof/>
              </w:rPr>
              <w:t>Geographie</w:t>
            </w:r>
            <w:r w:rsidR="006010C3">
              <w:rPr>
                <w:noProof/>
                <w:webHidden/>
              </w:rPr>
              <w:tab/>
            </w:r>
            <w:r w:rsidR="006010C3">
              <w:rPr>
                <w:noProof/>
                <w:webHidden/>
              </w:rPr>
              <w:fldChar w:fldCharType="begin"/>
            </w:r>
            <w:r w:rsidR="006010C3">
              <w:rPr>
                <w:noProof/>
                <w:webHidden/>
              </w:rPr>
              <w:instrText xml:space="preserve"> PAGEREF _Toc65169790 \h </w:instrText>
            </w:r>
            <w:r w:rsidR="006010C3">
              <w:rPr>
                <w:noProof/>
                <w:webHidden/>
              </w:rPr>
            </w:r>
            <w:r w:rsidR="006010C3">
              <w:rPr>
                <w:noProof/>
                <w:webHidden/>
              </w:rPr>
              <w:fldChar w:fldCharType="separate"/>
            </w:r>
            <w:r w:rsidR="00131F75">
              <w:rPr>
                <w:noProof/>
                <w:webHidden/>
              </w:rPr>
              <w:t>2</w:t>
            </w:r>
            <w:r w:rsidR="006010C3">
              <w:rPr>
                <w:noProof/>
                <w:webHidden/>
              </w:rPr>
              <w:fldChar w:fldCharType="end"/>
            </w:r>
          </w:hyperlink>
        </w:p>
        <w:p w14:paraId="2B405A44" w14:textId="77690FB7" w:rsidR="006010C3" w:rsidRDefault="00AC4A74">
          <w:pPr>
            <w:pStyle w:val="Verzeichnis2"/>
            <w:tabs>
              <w:tab w:val="left" w:pos="880"/>
              <w:tab w:val="right" w:leader="dot" w:pos="9062"/>
            </w:tabs>
            <w:rPr>
              <w:rFonts w:asciiTheme="minorHAnsi" w:eastAsiaTheme="minorEastAsia" w:hAnsiTheme="minorHAnsi"/>
              <w:noProof/>
              <w:lang w:eastAsia="de-DE"/>
            </w:rPr>
          </w:pPr>
          <w:hyperlink w:anchor="_Toc65169791" w:history="1">
            <w:r w:rsidR="006010C3" w:rsidRPr="00585733">
              <w:rPr>
                <w:rStyle w:val="Hyperlink"/>
                <w:noProof/>
              </w:rPr>
              <w:t>2.1</w:t>
            </w:r>
            <w:r w:rsidR="006010C3">
              <w:rPr>
                <w:rFonts w:asciiTheme="minorHAnsi" w:eastAsiaTheme="minorEastAsia" w:hAnsiTheme="minorHAnsi"/>
                <w:noProof/>
                <w:lang w:eastAsia="de-DE"/>
              </w:rPr>
              <w:tab/>
            </w:r>
            <w:r w:rsidR="006010C3" w:rsidRPr="00585733">
              <w:rPr>
                <w:rStyle w:val="Hyperlink"/>
                <w:noProof/>
              </w:rPr>
              <w:t>Geologie</w:t>
            </w:r>
            <w:r w:rsidR="006010C3">
              <w:rPr>
                <w:noProof/>
                <w:webHidden/>
              </w:rPr>
              <w:tab/>
            </w:r>
            <w:r w:rsidR="006010C3">
              <w:rPr>
                <w:noProof/>
                <w:webHidden/>
              </w:rPr>
              <w:fldChar w:fldCharType="begin"/>
            </w:r>
            <w:r w:rsidR="006010C3">
              <w:rPr>
                <w:noProof/>
                <w:webHidden/>
              </w:rPr>
              <w:instrText xml:space="preserve"> PAGEREF _Toc65169791 \h </w:instrText>
            </w:r>
            <w:r w:rsidR="006010C3">
              <w:rPr>
                <w:noProof/>
                <w:webHidden/>
              </w:rPr>
            </w:r>
            <w:r w:rsidR="006010C3">
              <w:rPr>
                <w:noProof/>
                <w:webHidden/>
              </w:rPr>
              <w:fldChar w:fldCharType="separate"/>
            </w:r>
            <w:r w:rsidR="00131F75">
              <w:rPr>
                <w:noProof/>
                <w:webHidden/>
              </w:rPr>
              <w:t>3</w:t>
            </w:r>
            <w:r w:rsidR="006010C3">
              <w:rPr>
                <w:noProof/>
                <w:webHidden/>
              </w:rPr>
              <w:fldChar w:fldCharType="end"/>
            </w:r>
          </w:hyperlink>
        </w:p>
        <w:p w14:paraId="5ED3B845" w14:textId="7A8818AA" w:rsidR="006010C3" w:rsidRDefault="00AC4A74">
          <w:pPr>
            <w:pStyle w:val="Verzeichnis2"/>
            <w:tabs>
              <w:tab w:val="left" w:pos="880"/>
              <w:tab w:val="right" w:leader="dot" w:pos="9062"/>
            </w:tabs>
            <w:rPr>
              <w:rFonts w:asciiTheme="minorHAnsi" w:eastAsiaTheme="minorEastAsia" w:hAnsiTheme="minorHAnsi"/>
              <w:noProof/>
              <w:lang w:eastAsia="de-DE"/>
            </w:rPr>
          </w:pPr>
          <w:hyperlink w:anchor="_Toc65169792" w:history="1">
            <w:r w:rsidR="006010C3" w:rsidRPr="00585733">
              <w:rPr>
                <w:rStyle w:val="Hyperlink"/>
                <w:noProof/>
              </w:rPr>
              <w:t>2.2</w:t>
            </w:r>
            <w:r w:rsidR="006010C3">
              <w:rPr>
                <w:rFonts w:asciiTheme="minorHAnsi" w:eastAsiaTheme="minorEastAsia" w:hAnsiTheme="minorHAnsi"/>
                <w:noProof/>
                <w:lang w:eastAsia="de-DE"/>
              </w:rPr>
              <w:tab/>
            </w:r>
            <w:r w:rsidR="006010C3" w:rsidRPr="00585733">
              <w:rPr>
                <w:rStyle w:val="Hyperlink"/>
                <w:noProof/>
              </w:rPr>
              <w:t>Hochwasser</w:t>
            </w:r>
            <w:r w:rsidR="006010C3">
              <w:rPr>
                <w:noProof/>
                <w:webHidden/>
              </w:rPr>
              <w:tab/>
            </w:r>
            <w:r w:rsidR="006010C3">
              <w:rPr>
                <w:noProof/>
                <w:webHidden/>
              </w:rPr>
              <w:fldChar w:fldCharType="begin"/>
            </w:r>
            <w:r w:rsidR="006010C3">
              <w:rPr>
                <w:noProof/>
                <w:webHidden/>
              </w:rPr>
              <w:instrText xml:space="preserve"> PAGEREF _Toc65169792 \h </w:instrText>
            </w:r>
            <w:r w:rsidR="006010C3">
              <w:rPr>
                <w:noProof/>
                <w:webHidden/>
              </w:rPr>
            </w:r>
            <w:r w:rsidR="006010C3">
              <w:rPr>
                <w:noProof/>
                <w:webHidden/>
              </w:rPr>
              <w:fldChar w:fldCharType="separate"/>
            </w:r>
            <w:r w:rsidR="00131F75">
              <w:rPr>
                <w:noProof/>
                <w:webHidden/>
              </w:rPr>
              <w:t>3</w:t>
            </w:r>
            <w:r w:rsidR="006010C3">
              <w:rPr>
                <w:noProof/>
                <w:webHidden/>
              </w:rPr>
              <w:fldChar w:fldCharType="end"/>
            </w:r>
          </w:hyperlink>
        </w:p>
        <w:p w14:paraId="7B511989" w14:textId="4358ABD6" w:rsidR="006010C3" w:rsidRDefault="00AC4A74">
          <w:pPr>
            <w:pStyle w:val="Verzeichnis2"/>
            <w:tabs>
              <w:tab w:val="left" w:pos="880"/>
              <w:tab w:val="right" w:leader="dot" w:pos="9062"/>
            </w:tabs>
            <w:rPr>
              <w:rFonts w:asciiTheme="minorHAnsi" w:eastAsiaTheme="minorEastAsia" w:hAnsiTheme="minorHAnsi"/>
              <w:noProof/>
              <w:lang w:eastAsia="de-DE"/>
            </w:rPr>
          </w:pPr>
          <w:hyperlink w:anchor="_Toc65169793" w:history="1">
            <w:r w:rsidR="006010C3" w:rsidRPr="00585733">
              <w:rPr>
                <w:rStyle w:val="Hyperlink"/>
                <w:noProof/>
              </w:rPr>
              <w:t>2.3</w:t>
            </w:r>
            <w:r w:rsidR="006010C3">
              <w:rPr>
                <w:rFonts w:asciiTheme="minorHAnsi" w:eastAsiaTheme="minorEastAsia" w:hAnsiTheme="minorHAnsi"/>
                <w:noProof/>
                <w:lang w:eastAsia="de-DE"/>
              </w:rPr>
              <w:tab/>
            </w:r>
            <w:r w:rsidR="006010C3" w:rsidRPr="00585733">
              <w:rPr>
                <w:rStyle w:val="Hyperlink"/>
                <w:noProof/>
              </w:rPr>
              <w:t>Stadtgliederung</w:t>
            </w:r>
            <w:r w:rsidR="006010C3">
              <w:rPr>
                <w:noProof/>
                <w:webHidden/>
              </w:rPr>
              <w:tab/>
            </w:r>
            <w:r w:rsidR="006010C3">
              <w:rPr>
                <w:noProof/>
                <w:webHidden/>
              </w:rPr>
              <w:fldChar w:fldCharType="begin"/>
            </w:r>
            <w:r w:rsidR="006010C3">
              <w:rPr>
                <w:noProof/>
                <w:webHidden/>
              </w:rPr>
              <w:instrText xml:space="preserve"> PAGEREF _Toc65169793 \h </w:instrText>
            </w:r>
            <w:r w:rsidR="006010C3">
              <w:rPr>
                <w:noProof/>
                <w:webHidden/>
              </w:rPr>
            </w:r>
            <w:r w:rsidR="006010C3">
              <w:rPr>
                <w:noProof/>
                <w:webHidden/>
              </w:rPr>
              <w:fldChar w:fldCharType="separate"/>
            </w:r>
            <w:r w:rsidR="00131F75">
              <w:rPr>
                <w:noProof/>
                <w:webHidden/>
              </w:rPr>
              <w:t>3</w:t>
            </w:r>
            <w:r w:rsidR="006010C3">
              <w:rPr>
                <w:noProof/>
                <w:webHidden/>
              </w:rPr>
              <w:fldChar w:fldCharType="end"/>
            </w:r>
          </w:hyperlink>
        </w:p>
        <w:p w14:paraId="714DA13D" w14:textId="133650A8" w:rsidR="006010C3" w:rsidRDefault="00AC4A74">
          <w:pPr>
            <w:pStyle w:val="Verzeichnis2"/>
            <w:tabs>
              <w:tab w:val="left" w:pos="880"/>
              <w:tab w:val="right" w:leader="dot" w:pos="9062"/>
            </w:tabs>
            <w:rPr>
              <w:rFonts w:asciiTheme="minorHAnsi" w:eastAsiaTheme="minorEastAsia" w:hAnsiTheme="minorHAnsi"/>
              <w:noProof/>
              <w:lang w:eastAsia="de-DE"/>
            </w:rPr>
          </w:pPr>
          <w:hyperlink w:anchor="_Toc65169794" w:history="1">
            <w:r w:rsidR="006010C3" w:rsidRPr="00585733">
              <w:rPr>
                <w:rStyle w:val="Hyperlink"/>
                <w:noProof/>
              </w:rPr>
              <w:t>2.4</w:t>
            </w:r>
            <w:r w:rsidR="006010C3">
              <w:rPr>
                <w:rFonts w:asciiTheme="minorHAnsi" w:eastAsiaTheme="minorEastAsia" w:hAnsiTheme="minorHAnsi"/>
                <w:noProof/>
                <w:lang w:eastAsia="de-DE"/>
              </w:rPr>
              <w:tab/>
            </w:r>
            <w:r w:rsidR="006010C3" w:rsidRPr="00585733">
              <w:rPr>
                <w:rStyle w:val="Hyperlink"/>
                <w:noProof/>
              </w:rPr>
              <w:t>Eingemeindungen</w:t>
            </w:r>
            <w:r w:rsidR="006010C3">
              <w:rPr>
                <w:noProof/>
                <w:webHidden/>
              </w:rPr>
              <w:tab/>
            </w:r>
            <w:r w:rsidR="006010C3">
              <w:rPr>
                <w:noProof/>
                <w:webHidden/>
              </w:rPr>
              <w:fldChar w:fldCharType="begin"/>
            </w:r>
            <w:r w:rsidR="006010C3">
              <w:rPr>
                <w:noProof/>
                <w:webHidden/>
              </w:rPr>
              <w:instrText xml:space="preserve"> PAGEREF _Toc65169794 \h </w:instrText>
            </w:r>
            <w:r w:rsidR="006010C3">
              <w:rPr>
                <w:noProof/>
                <w:webHidden/>
              </w:rPr>
            </w:r>
            <w:r w:rsidR="006010C3">
              <w:rPr>
                <w:noProof/>
                <w:webHidden/>
              </w:rPr>
              <w:fldChar w:fldCharType="separate"/>
            </w:r>
            <w:r w:rsidR="00131F75">
              <w:rPr>
                <w:noProof/>
                <w:webHidden/>
              </w:rPr>
              <w:t>4</w:t>
            </w:r>
            <w:r w:rsidR="006010C3">
              <w:rPr>
                <w:noProof/>
                <w:webHidden/>
              </w:rPr>
              <w:fldChar w:fldCharType="end"/>
            </w:r>
          </w:hyperlink>
        </w:p>
        <w:p w14:paraId="4A2FA6C2" w14:textId="7475ECCD" w:rsidR="006010C3" w:rsidRDefault="00AC4A74">
          <w:pPr>
            <w:pStyle w:val="Verzeichnis2"/>
            <w:tabs>
              <w:tab w:val="left" w:pos="880"/>
              <w:tab w:val="right" w:leader="dot" w:pos="9062"/>
            </w:tabs>
            <w:rPr>
              <w:rFonts w:asciiTheme="minorHAnsi" w:eastAsiaTheme="minorEastAsia" w:hAnsiTheme="minorHAnsi"/>
              <w:noProof/>
              <w:lang w:eastAsia="de-DE"/>
            </w:rPr>
          </w:pPr>
          <w:hyperlink w:anchor="_Toc65169795" w:history="1">
            <w:r w:rsidR="006010C3" w:rsidRPr="00585733">
              <w:rPr>
                <w:rStyle w:val="Hyperlink"/>
                <w:noProof/>
              </w:rPr>
              <w:t>2.5</w:t>
            </w:r>
            <w:r w:rsidR="006010C3">
              <w:rPr>
                <w:rFonts w:asciiTheme="minorHAnsi" w:eastAsiaTheme="minorEastAsia" w:hAnsiTheme="minorHAnsi"/>
                <w:noProof/>
                <w:lang w:eastAsia="de-DE"/>
              </w:rPr>
              <w:tab/>
            </w:r>
            <w:r w:rsidR="006010C3" w:rsidRPr="00585733">
              <w:rPr>
                <w:rStyle w:val="Hyperlink"/>
                <w:noProof/>
              </w:rPr>
              <w:t>Nachbargemeinden</w:t>
            </w:r>
            <w:r w:rsidR="006010C3">
              <w:rPr>
                <w:noProof/>
                <w:webHidden/>
              </w:rPr>
              <w:tab/>
            </w:r>
            <w:r w:rsidR="006010C3">
              <w:rPr>
                <w:noProof/>
                <w:webHidden/>
              </w:rPr>
              <w:fldChar w:fldCharType="begin"/>
            </w:r>
            <w:r w:rsidR="006010C3">
              <w:rPr>
                <w:noProof/>
                <w:webHidden/>
              </w:rPr>
              <w:instrText xml:space="preserve"> PAGEREF _Toc65169795 \h </w:instrText>
            </w:r>
            <w:r w:rsidR="006010C3">
              <w:rPr>
                <w:noProof/>
                <w:webHidden/>
              </w:rPr>
            </w:r>
            <w:r w:rsidR="006010C3">
              <w:rPr>
                <w:noProof/>
                <w:webHidden/>
              </w:rPr>
              <w:fldChar w:fldCharType="separate"/>
            </w:r>
            <w:r w:rsidR="00131F75">
              <w:rPr>
                <w:noProof/>
                <w:webHidden/>
              </w:rPr>
              <w:t>5</w:t>
            </w:r>
            <w:r w:rsidR="006010C3">
              <w:rPr>
                <w:noProof/>
                <w:webHidden/>
              </w:rPr>
              <w:fldChar w:fldCharType="end"/>
            </w:r>
          </w:hyperlink>
        </w:p>
        <w:p w14:paraId="3F2A96AB" w14:textId="578A1DFF" w:rsidR="006010C3" w:rsidRPr="006010C3" w:rsidRDefault="006010C3">
          <w:pPr>
            <w:rPr>
              <w:sz w:val="16"/>
              <w:szCs w:val="16"/>
            </w:rPr>
          </w:pPr>
          <w:r>
            <w:rPr>
              <w:b/>
              <w:bCs/>
            </w:rPr>
            <w:fldChar w:fldCharType="end"/>
          </w:r>
        </w:p>
      </w:sdtContent>
    </w:sdt>
    <w:p w14:paraId="1830D3B1" w14:textId="75DBAE8F" w:rsidR="006010C3" w:rsidRDefault="006010C3" w:rsidP="006010C3">
      <w:pPr>
        <w:pStyle w:val="Titel"/>
        <w:rPr>
          <w:sz w:val="44"/>
          <w:szCs w:val="44"/>
        </w:rPr>
      </w:pPr>
      <w:r w:rsidRPr="006010C3">
        <w:rPr>
          <w:sz w:val="44"/>
          <w:szCs w:val="44"/>
        </w:rPr>
        <w:t>Abbildungsverzeichnis</w:t>
      </w:r>
    </w:p>
    <w:p w14:paraId="1B0EC55B" w14:textId="1001EF79" w:rsidR="006010C3" w:rsidRDefault="006010C3">
      <w:pPr>
        <w:pStyle w:val="Abbildungsverzeichnis"/>
        <w:tabs>
          <w:tab w:val="right" w:leader="dot" w:pos="9062"/>
        </w:tabs>
        <w:rPr>
          <w:rFonts w:asciiTheme="minorHAnsi" w:eastAsiaTheme="minorEastAsia" w:hAnsiTheme="minorHAnsi"/>
          <w:noProof/>
          <w:lang w:eastAsia="de-DE"/>
        </w:rPr>
      </w:pPr>
      <w:r>
        <w:fldChar w:fldCharType="begin"/>
      </w:r>
      <w:r>
        <w:instrText xml:space="preserve"> TOC \p " " \h \z \c "Abbildung" </w:instrText>
      </w:r>
      <w:r>
        <w:fldChar w:fldCharType="separate"/>
      </w:r>
      <w:hyperlink w:anchor="_Toc65170050" w:history="1">
        <w:r w:rsidRPr="00556867">
          <w:rPr>
            <w:rStyle w:val="Hyperlink"/>
            <w:noProof/>
          </w:rPr>
          <w:t>Abbildung 1 Zwickauplatz</w:t>
        </w:r>
        <w:r>
          <w:rPr>
            <w:noProof/>
            <w:webHidden/>
          </w:rPr>
          <w:t xml:space="preserve"> </w:t>
        </w:r>
        <w:r>
          <w:rPr>
            <w:noProof/>
            <w:webHidden/>
          </w:rPr>
          <w:fldChar w:fldCharType="begin"/>
        </w:r>
        <w:r>
          <w:rPr>
            <w:noProof/>
            <w:webHidden/>
          </w:rPr>
          <w:instrText xml:space="preserve"> PAGEREF _Toc65170050 \h </w:instrText>
        </w:r>
        <w:r>
          <w:rPr>
            <w:noProof/>
            <w:webHidden/>
          </w:rPr>
        </w:r>
        <w:r>
          <w:rPr>
            <w:noProof/>
            <w:webHidden/>
          </w:rPr>
          <w:fldChar w:fldCharType="separate"/>
        </w:r>
        <w:r w:rsidR="00131F75">
          <w:rPr>
            <w:noProof/>
            <w:webHidden/>
          </w:rPr>
          <w:t>4</w:t>
        </w:r>
        <w:r>
          <w:rPr>
            <w:noProof/>
            <w:webHidden/>
          </w:rPr>
          <w:fldChar w:fldCharType="end"/>
        </w:r>
      </w:hyperlink>
    </w:p>
    <w:p w14:paraId="07C495B2" w14:textId="20B5F925" w:rsidR="006010C3" w:rsidRPr="006010C3" w:rsidRDefault="006010C3" w:rsidP="006010C3">
      <w:pPr>
        <w:jc w:val="left"/>
      </w:pPr>
      <w:r>
        <w:fldChar w:fldCharType="end"/>
      </w:r>
    </w:p>
    <w:p w14:paraId="43981179" w14:textId="77777777" w:rsidR="006010C3" w:rsidRDefault="006010C3">
      <w:pPr>
        <w:spacing w:after="160"/>
        <w:jc w:val="left"/>
        <w:rPr>
          <w:rFonts w:asciiTheme="majorHAnsi" w:eastAsiaTheme="majorEastAsia" w:hAnsiTheme="majorHAnsi" w:cstheme="majorBidi"/>
          <w:spacing w:val="-10"/>
          <w:kern w:val="28"/>
          <w:sz w:val="56"/>
          <w:szCs w:val="56"/>
        </w:rPr>
      </w:pPr>
      <w:r>
        <w:br w:type="page"/>
      </w:r>
    </w:p>
    <w:p w14:paraId="5ED650C2" w14:textId="2435EB7E" w:rsidR="00457427" w:rsidRDefault="00457427" w:rsidP="006010C3">
      <w:pPr>
        <w:pStyle w:val="Titel"/>
      </w:pPr>
      <w:r>
        <w:lastRenderedPageBreak/>
        <w:t>Die Stadt Zwickau</w:t>
      </w:r>
    </w:p>
    <w:p w14:paraId="5EE51318" w14:textId="77777777" w:rsidR="00457427" w:rsidRDefault="00457427" w:rsidP="006010C3">
      <w:pPr>
        <w:pStyle w:val="berschrift1"/>
      </w:pPr>
      <w:bookmarkStart w:id="0" w:name="_Toc65169789"/>
      <w:r>
        <w:t>Einführung</w:t>
      </w:r>
      <w:bookmarkEnd w:id="0"/>
    </w:p>
    <w:p w14:paraId="151A59C9" w14:textId="77777777" w:rsidR="00457427" w:rsidRDefault="00457427" w:rsidP="00457427">
      <w:r>
        <w:t>Zwickau (im sächsischen Dialekt auch Zwigge) ist mit rund 90.000 Einwohnern die viertgrößte Stadt in Sachsen und ein Oberzentrum im südwestlichen Teil des Landes.</w:t>
      </w:r>
    </w:p>
    <w:p w14:paraId="2EF3343C" w14:textId="77777777" w:rsidR="00457427" w:rsidRDefault="00457427" w:rsidP="00457427">
      <w:r>
        <w:t>Ein Gebiet mit der Bezeichnung territorium Zcwickaw wurde erstmals 1118 erwähnt. Nahezu 800 Jahre lang wurde hier und in der umliegenden Region Steinkohle abgebaut. Die Stadt entwickelte sich dadurch zum Zentrum des Zwickauer Steinkohlenreviers. Als bis 1806 kurfürstliche Stadt war Zwickau im Königreich Sachsen seit 1834/1835 Kreisdirektionssitz, ab 1874 Sitz der Kreishauptmannschaft (nach 1939 Regierungsbezirk Zwickau) und wurde 1907 eine kreisfreie Stadt. Im Zuge des Totalumbaus der Verwaltungsstrukturen zur Durchsetzung des Prinzips des sogenannten demokratischen Zentralismus in der DDR verlor Zwickau 1953 seinen seit 1834 währenden Rang als Bezirksregierungssitz und wurde Teil des Bezirkes Karl-Marx-Stadt. Seit 2008 ist Zwickau nicht mehr kreisfrei; die Stadt wurde in den neu gebildeten Landkreis Zwickau eingegliedert.</w:t>
      </w:r>
    </w:p>
    <w:p w14:paraId="4327AED3" w14:textId="77777777" w:rsidR="00457427" w:rsidRDefault="00457427" w:rsidP="00457427">
      <w:r>
        <w:t>Die Stadt ist Gründungsmitglied der Metropolregion Mitteldeutschland und Teil des Ballungsraums Chemnitz-Zwickau. Hier hat auch die Verwaltung des vorgenannten Landkreises ihren Sitz. Durch die seit 2000 zunehmende Urbanisierung der städtischen Randgebiete wächst die flächenmäßige Ausdehnung der Stadt, die mittlerweile größtenteils das Tal der Zwickauer Mulde überdeckt. Die bei Automobilisten beliebte, landschaftlich reizvolle und mit vielen kulturellen und historischen Sehenswürdigkeiten ausgestattete Touristikroute der Sächsisch-Böhmischen Silberstraße verbindet, dem Verlauf des Erzgebirges in östlicher Richtung folgend, die alte Bergstadt Zwickau mit der Landeshauptstadt Dresden.</w:t>
      </w:r>
    </w:p>
    <w:p w14:paraId="646AA400" w14:textId="77777777" w:rsidR="00457427" w:rsidRDefault="00457427" w:rsidP="00457427">
      <w:r>
        <w:t>Zwickau ist die Wiege der sächsischen Automobilindustrie. Die mehr als hundertjährige Tradition in der Automobilherstellung begann Anfang des 20. Jahrhunderts mit der Gründung der Werke von Horch (1904) bzw. Audi (1909/1910), die in den 1930er und 1940er Jahren von der Auto Union und während der DDR-Zeit von den Sachsenring-Werken weitergeführt wurde. Nach dem Ende der Teilung Deutschlands gründete die Volkswagen AG im heutigen Zwickauer Stadtteil Mosel eines der größten Unternehmen der neuen Bundesländer, die Volkswagen Sachsen GmbH, die diese Automobilbau-Tradition weiterführt.</w:t>
      </w:r>
    </w:p>
    <w:p w14:paraId="6A227B8C" w14:textId="77777777" w:rsidR="00457427" w:rsidRDefault="00457427" w:rsidP="00457427">
      <w:r>
        <w:t>1810 wurde hier der Komponist der Romantik Robert Schumann geboren. Die Stadt ist daher international als Automobil- und Robert-Schumann-Stadt bekannt. Darüber hinaus erhielt sie am 21. April 2016 die Anerkennung als „Reformationsstadt Europas“.</w:t>
      </w:r>
    </w:p>
    <w:p w14:paraId="47EAAB1C" w14:textId="77777777" w:rsidR="00457427" w:rsidRDefault="00457427" w:rsidP="00457427">
      <w:r>
        <w:t>Das August-Horch-Museum, die Westsächsische Hochschule Zwickau, das Robert-Schumann-Konservatorium und das Theater Plauen-Zwickau sind überregional bedeutende Kultur- und Bildungseinrichtungen.</w:t>
      </w:r>
    </w:p>
    <w:p w14:paraId="10B337AD" w14:textId="77777777" w:rsidR="00457427" w:rsidRDefault="00457427" w:rsidP="006010C3">
      <w:pPr>
        <w:pStyle w:val="berschrift1"/>
      </w:pPr>
      <w:bookmarkStart w:id="1" w:name="_Toc65169790"/>
      <w:r>
        <w:t>Geographie</w:t>
      </w:r>
      <w:bookmarkEnd w:id="1"/>
    </w:p>
    <w:p w14:paraId="466BADE8" w14:textId="77777777" w:rsidR="00457427" w:rsidRDefault="00457427" w:rsidP="00457427">
      <w:r>
        <w:t xml:space="preserve">Das westsächsische Zwickau liegt in einer weiten Talaue am Eingang zum Westerzgebirge und zum Vogtland. Diese nimmt flächenmäßig einen Teil des Naturraums im Erzgebirgsbecken ein, das dem Verlauf der Zwickauer Mulde folgt. Das Stadtzentrum liegt mit einer geographischen Höhe von 267 m ü. NN unweit des Westufers der Zwickauer Mulde. Unmittelbar gegenüber am Ostufer der Zwickauer Mulde erhebt sich steil der Brückenberg mit aus dem Mittelalter herrührenden Bergkellern. Im Osten liegt vor den Toren der Stadt Mülsen Sachsens längste Gemeinde. Im Westen beherrscht nach sanftem Anstieg in Richtung zur angrenzenden Stadt Werdau der Windberg (350 m ü. NN) das Panorama. Daran anschließend befindet sich in Richtung Norden der größtenteils aus Mischwald bestehende Zwickauer Stadtpark. Im Norden dehnt sich das Stadtgebiet über die breite, fruchtbare Talaue der </w:t>
      </w:r>
      <w:r>
        <w:lastRenderedPageBreak/>
        <w:t>Zwickauer Mulde in Richtung Crimmitschau, Meerane und Glauchau aus, wo unweit hinter dem Volkswagenwerk Zwickau die Stadtgrenze verläuft. Flussaufwärts hat Zwickau im Süden eine gemeinsame Grenze mit der Stadt Wilkau-Haßlau. Südwestlich erhebt sich vom Tal der Zwickauer Mulde ausgehend der Stadtteil Zwickau-Planitz, dessen markanteste Bauwerke die zum Planitzer Schlossensemble gehörende Lukaskirche und der nahe am SOS-Kinderdorf liegende Oberplanitzer Wasserturm sind. Weitere, die Stadt umgebende höchste Erhebungen sind der Kreuzberg (398 m), der Fernblick (377 m), die Alexanderhöhe (362 m), der Krähenhügel (360 m) und der Kuhberg (358 m). Die Stadtausdehnung beträgt in Nord-Süd-Richtung etwa 20 Kilometer und in Ost-West-Richtung etwa 11 Kilometer. Der Verlauf der 75 Kilometer langen Stadtgrenze ähnelt entfernt dem Umriss von Afrika.</w:t>
      </w:r>
    </w:p>
    <w:p w14:paraId="2BFB70C1" w14:textId="77777777" w:rsidR="00457427" w:rsidRDefault="00457427" w:rsidP="006010C3">
      <w:pPr>
        <w:pStyle w:val="berschrift2"/>
      </w:pPr>
      <w:bookmarkStart w:id="2" w:name="_Toc65169791"/>
      <w:r>
        <w:t>Geologie</w:t>
      </w:r>
      <w:bookmarkEnd w:id="2"/>
    </w:p>
    <w:p w14:paraId="68215CED" w14:textId="77777777" w:rsidR="00457427" w:rsidRDefault="00457427" w:rsidP="00457427">
      <w:r>
        <w:t>Während des Karbons wuchs am Fuße des variskischen Gebirges ein Urwald aus Farnen, Riesenbärlappen und Schachtelhalmen, aus dessen Überresten später unter dem Rotliegenden und Gebirgsschutt Steinkohlenflöze entstanden, die für mehr als 600 Jahre Bergbau in der Zwickauer Region ermöglichten.</w:t>
      </w:r>
    </w:p>
    <w:p w14:paraId="62F6CE81" w14:textId="77777777" w:rsidR="00457427" w:rsidRDefault="00457427" w:rsidP="00457427">
      <w:r>
        <w:t>Geologische Besonderheiten sind auch durch Fossilienfunde aus dem Cainsdorfer Ausstreichen des Zwickauer Steinkohlenreviers belegt. Auf dem Bild zu sehen sind links: Sigillariaceae Reste (ausgestorbene Bärlapppflanzen), mittig unten: Annularia sphenophylloides Blätter der Calamitaceae (Schachtelhalme) und rechts: die Linopteris neuropteroides Blätter der ausgestorbenen Medullosales (Samenfarne). Diese sind vor etwa 305–310 Mio. Jahren entstanden.</w:t>
      </w:r>
    </w:p>
    <w:p w14:paraId="315D25F9" w14:textId="77777777" w:rsidR="00457427" w:rsidRDefault="00457427" w:rsidP="00457427">
      <w:r>
        <w:t>Die Funde befinden sich im Gebiet des Geologischen Naturdenkmals Rußkohlenflöz. Dieser Ausbiss des Rußkohlenflözes, der einzige ständig freiliegende Aufschluss eines Steinkohlenflözes in Sachsen, ist als geologisches Naturdenkmal in Mitteleuropa, als Aufschluss verschiedener Erdzeitalter (Silur, Devon und Oberkarbon) sehr selten und gemäß § 21 des Sächsischen Naturschutzgesetzes (SächsNatSchG) geschützt.</w:t>
      </w:r>
    </w:p>
    <w:p w14:paraId="5D8685A4" w14:textId="77777777" w:rsidR="00457427" w:rsidRDefault="00457427" w:rsidP="006010C3">
      <w:pPr>
        <w:pStyle w:val="berschrift2"/>
      </w:pPr>
      <w:bookmarkStart w:id="3" w:name="_Toc65169792"/>
      <w:r>
        <w:t>Hochwasser</w:t>
      </w:r>
      <w:bookmarkEnd w:id="3"/>
    </w:p>
    <w:p w14:paraId="0CC1C9A9" w14:textId="77777777" w:rsidR="00457427" w:rsidRDefault="00457427" w:rsidP="00457427">
      <w:r>
        <w:t>Die Stadt war in den Jahren 1486, 1500, 1529, 1543, 1560, 1573, 1604, 1607, 1608, 1622, 1627, 1655, 1661, 1672, 1694, 1721, 1723, 1733, 1736, 1750, 1767, 1771, 1778, 1786, 1790, 1830, 1858, 1897, 1917, 1932, 1954, 2002 und 2013 von Hochwasser oder Eisgang der Zwickauer Mulde betroffen. Die höchsten bekannten Wasserstände betrugen:</w:t>
      </w:r>
    </w:p>
    <w:p w14:paraId="01620D26" w14:textId="77777777" w:rsidR="00457427" w:rsidRDefault="00457427" w:rsidP="006010C3">
      <w:pPr>
        <w:pStyle w:val="Listenabsatz"/>
        <w:numPr>
          <w:ilvl w:val="0"/>
          <w:numId w:val="2"/>
        </w:numPr>
      </w:pPr>
      <w:r>
        <w:t>31. Juli 1858: 4,61 m an der Bierbrücke</w:t>
      </w:r>
    </w:p>
    <w:p w14:paraId="299F197D" w14:textId="77777777" w:rsidR="00457427" w:rsidRDefault="00457427" w:rsidP="006010C3">
      <w:pPr>
        <w:pStyle w:val="Listenabsatz"/>
        <w:numPr>
          <w:ilvl w:val="0"/>
          <w:numId w:val="2"/>
        </w:numPr>
      </w:pPr>
      <w:r>
        <w:t>31. Juli 1897: 2,96 m an der Bierbrücke</w:t>
      </w:r>
    </w:p>
    <w:p w14:paraId="57A18A1B" w14:textId="77777777" w:rsidR="00457427" w:rsidRDefault="00457427" w:rsidP="006010C3">
      <w:pPr>
        <w:pStyle w:val="Listenabsatz"/>
        <w:numPr>
          <w:ilvl w:val="0"/>
          <w:numId w:val="2"/>
        </w:numPr>
      </w:pPr>
      <w:r>
        <w:t>4. Januar 1932: 4,17 m an der Bierbrücke</w:t>
      </w:r>
    </w:p>
    <w:p w14:paraId="6B3C0DE7" w14:textId="77777777" w:rsidR="00457427" w:rsidRDefault="00457427" w:rsidP="006010C3">
      <w:pPr>
        <w:pStyle w:val="Listenabsatz"/>
        <w:numPr>
          <w:ilvl w:val="0"/>
          <w:numId w:val="2"/>
        </w:numPr>
      </w:pPr>
      <w:r>
        <w:t>10. Juli 1954: 4,78 m am Pegel Pölbitz (2,10 m auf dem Hauptmarkt)</w:t>
      </w:r>
    </w:p>
    <w:p w14:paraId="79EE4236" w14:textId="77777777" w:rsidR="00457427" w:rsidRDefault="00457427" w:rsidP="006010C3">
      <w:pPr>
        <w:pStyle w:val="berschrift2"/>
      </w:pPr>
      <w:bookmarkStart w:id="4" w:name="_Toc65169793"/>
      <w:r>
        <w:t>Stadtgliederung</w:t>
      </w:r>
      <w:bookmarkEnd w:id="4"/>
    </w:p>
    <w:p w14:paraId="446F1604" w14:textId="77777777" w:rsidR="00457427" w:rsidRDefault="00457427" w:rsidP="00457427">
      <w:r>
        <w:t>Das Stadtgebiet Zwickaus ist in die fünf Stadtbezirke Mitte, Ost, Nord, West und Süd eingeteilt. Jeder Stadtbezirk besteht aus bis zu neun Stadtteilen (insgesamt 35). Die erst bei den jüngsten Eingemeindungen in den 1990er Jahren nach Zwickau eingegliederten Stadtteile Rottmannsdorf, Crossen, Cainsdorf, Mosel, Oberrothenbach und Schlunzig sind zugleich Ortschaften im Sinne der §§ 65–69 der Sächsischen Gemeindeordnung. Die Ortschaften wurden durch die Hauptsatzung der Stadt Zwickau eingeführt und haben einen von der Bevölkerung gewählten Ortschaftsrat, der je nach Einwohnerzahl der Ortschaft zwischen vier und sechs Mitglieder hat. Vorsitzender des Ortschaftsrat ist der Ortsvorsteher.</w:t>
      </w:r>
    </w:p>
    <w:p w14:paraId="74AC6FCA" w14:textId="77777777" w:rsidR="00457427" w:rsidRDefault="00457427" w:rsidP="00457427">
      <w:r>
        <w:t>Die fünf Stadtbezirke mit ihren zugehörigen amtlichen Stadtteilen und deren Nummern sind:</w:t>
      </w:r>
    </w:p>
    <w:p w14:paraId="16499E82" w14:textId="7309B84E" w:rsidR="00457427" w:rsidRDefault="00457427" w:rsidP="006010C3">
      <w:pPr>
        <w:pStyle w:val="Listenabsatz"/>
        <w:numPr>
          <w:ilvl w:val="0"/>
          <w:numId w:val="3"/>
        </w:numPr>
      </w:pPr>
      <w:r>
        <w:t>Stadtbezirk Mitte (11–15):</w:t>
      </w:r>
    </w:p>
    <w:p w14:paraId="73727C24" w14:textId="77777777" w:rsidR="006010C3" w:rsidRDefault="006010C3" w:rsidP="006010C3">
      <w:pPr>
        <w:pStyle w:val="Listenabsatz"/>
        <w:keepNext/>
        <w:jc w:val="both"/>
      </w:pPr>
      <w:r>
        <w:rPr>
          <w:noProof/>
        </w:rPr>
        <w:lastRenderedPageBreak/>
        <w:drawing>
          <wp:inline distT="0" distB="0" distL="0" distR="0" wp14:anchorId="78362F7E" wp14:editId="1006712A">
            <wp:extent cx="1341120" cy="2334768"/>
            <wp:effectExtent l="0" t="0" r="0" b="8890"/>
            <wp:docPr id="1" name="Grafik 1" descr="Ein Bild, das Gebäude, draußen, Himmel, al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ebäude, draußen, Himmel, al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120" cy="2334768"/>
                    </a:xfrm>
                    <a:prstGeom prst="rect">
                      <a:avLst/>
                    </a:prstGeom>
                  </pic:spPr>
                </pic:pic>
              </a:graphicData>
            </a:graphic>
          </wp:inline>
        </w:drawing>
      </w:r>
    </w:p>
    <w:p w14:paraId="56F0840B" w14:textId="1AE7C2A3" w:rsidR="006010C3" w:rsidRDefault="006010C3" w:rsidP="006010C3">
      <w:pPr>
        <w:pStyle w:val="Beschriftung"/>
        <w:jc w:val="both"/>
      </w:pPr>
      <w:bookmarkStart w:id="5" w:name="_Toc65170050"/>
      <w:r>
        <w:t xml:space="preserve">Abbildung </w:t>
      </w:r>
      <w:fldSimple w:instr=" SEQ Abbildung \* ARABIC ">
        <w:r w:rsidR="00131F75">
          <w:rPr>
            <w:noProof/>
          </w:rPr>
          <w:t>1</w:t>
        </w:r>
      </w:fldSimple>
      <w:r>
        <w:t xml:space="preserve"> Zwickauplatz</w:t>
      </w:r>
      <w:bookmarkEnd w:id="5"/>
    </w:p>
    <w:p w14:paraId="21529A19" w14:textId="77777777" w:rsidR="00457427" w:rsidRDefault="00457427" w:rsidP="00457427">
      <w:r>
        <w:t>Innenstadt (11), Mitte-Nord (12), Mitte-West (13), Mitte-Süd (14), Nordvorstadt (15)</w:t>
      </w:r>
    </w:p>
    <w:p w14:paraId="78EE85BF" w14:textId="77777777" w:rsidR="00457427" w:rsidRDefault="00457427" w:rsidP="006010C3">
      <w:pPr>
        <w:pStyle w:val="Listenabsatz"/>
        <w:numPr>
          <w:ilvl w:val="0"/>
          <w:numId w:val="3"/>
        </w:numPr>
      </w:pPr>
      <w:r>
        <w:t>Stadtbezirk Ost (21–28):</w:t>
      </w:r>
    </w:p>
    <w:p w14:paraId="718DFA54" w14:textId="77777777" w:rsidR="00457427" w:rsidRDefault="00457427" w:rsidP="00457427">
      <w:r>
        <w:t>Gebiet Äußere Dresdner Straße/Pöhlauer Straße (21), Eckersbach Siedlung (22), Pöhlau (23), Auerbach (24), Eckersbacher Höhe (E 5/1) (25), Eckersbacher Höhe (E 5/2 und E 5/3) (26), Eckersbacher Höhe (E 1 bis E 4) (27), Gebiet Talstraße/Trillerberg (28)</w:t>
      </w:r>
    </w:p>
    <w:p w14:paraId="6EC951CA" w14:textId="77777777" w:rsidR="00457427" w:rsidRDefault="00457427" w:rsidP="006010C3">
      <w:pPr>
        <w:pStyle w:val="Listenabsatz"/>
        <w:numPr>
          <w:ilvl w:val="0"/>
          <w:numId w:val="3"/>
        </w:numPr>
      </w:pPr>
      <w:r>
        <w:t>Stadtbezirk Nord (31–39):</w:t>
      </w:r>
    </w:p>
    <w:p w14:paraId="3C53942A" w14:textId="77777777" w:rsidR="00457427" w:rsidRDefault="00457427" w:rsidP="00457427">
      <w:r>
        <w:t>Pölbitz (31), Weißenborn (32), Niederhohndorf (33), Hartmannsdorf (34), Oberrothenbach (35), Mosel (36), Crossen1 (37), Schneppendorf (38), Schlunzig (39)</w:t>
      </w:r>
    </w:p>
    <w:p w14:paraId="6D67EABE" w14:textId="77777777" w:rsidR="00457427" w:rsidRDefault="00457427" w:rsidP="006010C3">
      <w:pPr>
        <w:pStyle w:val="Listenabsatz"/>
        <w:numPr>
          <w:ilvl w:val="0"/>
          <w:numId w:val="3"/>
        </w:numPr>
      </w:pPr>
      <w:r>
        <w:t>Stadtbezirk West (41–44):</w:t>
      </w:r>
    </w:p>
    <w:p w14:paraId="46A572E9" w14:textId="77777777" w:rsidR="00457427" w:rsidRDefault="00457427" w:rsidP="00457427">
      <w:r>
        <w:t>Gebiet Reichenbacher Straße und Freiheitssiedlung (41), Marienthal Ost (42), Marienthal West (43), Brand (44)</w:t>
      </w:r>
    </w:p>
    <w:p w14:paraId="54362019" w14:textId="77777777" w:rsidR="00457427" w:rsidRDefault="00457427" w:rsidP="006010C3">
      <w:pPr>
        <w:pStyle w:val="Listenabsatz"/>
        <w:numPr>
          <w:ilvl w:val="0"/>
          <w:numId w:val="3"/>
        </w:numPr>
      </w:pPr>
      <w:r>
        <w:t>Stadtbezirk Süd (51–59):</w:t>
      </w:r>
    </w:p>
    <w:p w14:paraId="3B7A358D" w14:textId="2C07CC57" w:rsidR="00457427" w:rsidRDefault="00457427" w:rsidP="00457427">
      <w:r>
        <w:t>Bockwa (51), Oberhohndorf (52), Schedewitz (53), Niederplanitz (54), Neuplanitz (55), Hüttelsgrün (56), Oberplanitz (57), Rottmannsdorf</w:t>
      </w:r>
      <w:r w:rsidR="00962D2F">
        <w:rPr>
          <w:rStyle w:val="Funotenzeichen"/>
        </w:rPr>
        <w:footnoteReference w:id="1"/>
      </w:r>
      <w:r>
        <w:t xml:space="preserve"> (58), Cainsdorf</w:t>
      </w:r>
      <w:r w:rsidR="00962D2F">
        <w:rPr>
          <w:rStyle w:val="Funotenzeichen"/>
        </w:rPr>
        <w:footnoteReference w:id="2"/>
      </w:r>
      <w:r>
        <w:t xml:space="preserve"> (59)</w:t>
      </w:r>
    </w:p>
    <w:p w14:paraId="5A652D39" w14:textId="77777777" w:rsidR="00457427" w:rsidRDefault="00457427" w:rsidP="006010C3">
      <w:pPr>
        <w:pStyle w:val="berschrift2"/>
      </w:pPr>
      <w:bookmarkStart w:id="6" w:name="_Toc65169794"/>
      <w:r>
        <w:t>Eingemeindungen</w:t>
      </w:r>
      <w:bookmarkEnd w:id="6"/>
    </w:p>
    <w:p w14:paraId="7684DD16" w14:textId="0CBD0D86" w:rsidR="00457427" w:rsidRDefault="00457427" w:rsidP="00457427">
      <w:r>
        <w:t>Ehemals selbstständige Städte, Gemeinden oder Gemarkungen wurden in die Stadt Zwickau eingegliedert:</w:t>
      </w:r>
    </w:p>
    <w:tbl>
      <w:tblPr>
        <w:tblStyle w:val="Tabellenraster"/>
        <w:tblW w:w="0" w:type="auto"/>
        <w:tblLook w:val="04A0" w:firstRow="1" w:lastRow="0" w:firstColumn="1" w:lastColumn="0" w:noHBand="0" w:noVBand="1"/>
      </w:tblPr>
      <w:tblGrid>
        <w:gridCol w:w="2122"/>
        <w:gridCol w:w="6940"/>
      </w:tblGrid>
      <w:tr w:rsidR="00457427" w14:paraId="79DDDC9C" w14:textId="77777777" w:rsidTr="006010C3">
        <w:tc>
          <w:tcPr>
            <w:tcW w:w="2122" w:type="dxa"/>
            <w:shd w:val="clear" w:color="auto" w:fill="000000" w:themeFill="text1"/>
          </w:tcPr>
          <w:p w14:paraId="09378EC7" w14:textId="08EF5A50" w:rsidR="00457427" w:rsidRPr="006010C3" w:rsidRDefault="00457427" w:rsidP="006010C3">
            <w:pPr>
              <w:jc w:val="left"/>
              <w:rPr>
                <w:color w:val="FFFFFF" w:themeColor="background1"/>
                <w:sz w:val="28"/>
                <w:szCs w:val="28"/>
              </w:rPr>
            </w:pPr>
            <w:r w:rsidRPr="006010C3">
              <w:rPr>
                <w:color w:val="FFFFFF" w:themeColor="background1"/>
                <w:sz w:val="28"/>
                <w:szCs w:val="28"/>
              </w:rPr>
              <w:t xml:space="preserve">Jahr </w:t>
            </w:r>
          </w:p>
        </w:tc>
        <w:tc>
          <w:tcPr>
            <w:tcW w:w="6940" w:type="dxa"/>
            <w:shd w:val="clear" w:color="auto" w:fill="000000" w:themeFill="text1"/>
          </w:tcPr>
          <w:p w14:paraId="336D0ECF" w14:textId="1A953537" w:rsidR="00457427" w:rsidRPr="006010C3" w:rsidRDefault="00457427" w:rsidP="006010C3">
            <w:pPr>
              <w:jc w:val="left"/>
              <w:rPr>
                <w:color w:val="FFFFFF" w:themeColor="background1"/>
                <w:sz w:val="28"/>
                <w:szCs w:val="28"/>
              </w:rPr>
            </w:pPr>
            <w:r w:rsidRPr="006010C3">
              <w:rPr>
                <w:color w:val="FFFFFF" w:themeColor="background1"/>
                <w:sz w:val="28"/>
                <w:szCs w:val="28"/>
              </w:rPr>
              <w:t>eingemeindete Städte, Gemeinden oder Gemarkungen</w:t>
            </w:r>
          </w:p>
        </w:tc>
      </w:tr>
      <w:tr w:rsidR="00457427" w14:paraId="5B02B2B1" w14:textId="77777777" w:rsidTr="006010C3">
        <w:tc>
          <w:tcPr>
            <w:tcW w:w="2122" w:type="dxa"/>
            <w:shd w:val="clear" w:color="auto" w:fill="B4C6E7" w:themeFill="accent1" w:themeFillTint="66"/>
          </w:tcPr>
          <w:p w14:paraId="4F653C77" w14:textId="1BC40863" w:rsidR="00457427" w:rsidRDefault="00457427" w:rsidP="006010C3">
            <w:pPr>
              <w:jc w:val="left"/>
            </w:pPr>
            <w:r>
              <w:t>1. Januar 1895</w:t>
            </w:r>
          </w:p>
        </w:tc>
        <w:tc>
          <w:tcPr>
            <w:tcW w:w="6940" w:type="dxa"/>
            <w:shd w:val="clear" w:color="auto" w:fill="B4C6E7" w:themeFill="accent1" w:themeFillTint="66"/>
          </w:tcPr>
          <w:p w14:paraId="79CD7B5E" w14:textId="12690D1C" w:rsidR="00457427" w:rsidRDefault="00457427" w:rsidP="006010C3">
            <w:pPr>
              <w:jc w:val="left"/>
            </w:pPr>
            <w:r>
              <w:t>Pölbitz</w:t>
            </w:r>
          </w:p>
        </w:tc>
      </w:tr>
      <w:tr w:rsidR="00457427" w14:paraId="4FEA37A6" w14:textId="77777777" w:rsidTr="006010C3">
        <w:tc>
          <w:tcPr>
            <w:tcW w:w="2122" w:type="dxa"/>
          </w:tcPr>
          <w:p w14:paraId="118E1FB9" w14:textId="30F56DDA" w:rsidR="00457427" w:rsidRDefault="00457427" w:rsidP="006010C3">
            <w:pPr>
              <w:jc w:val="left"/>
            </w:pPr>
            <w:r>
              <w:t>1. Oktober 1902</w:t>
            </w:r>
          </w:p>
        </w:tc>
        <w:tc>
          <w:tcPr>
            <w:tcW w:w="6940" w:type="dxa"/>
          </w:tcPr>
          <w:p w14:paraId="1463B382" w14:textId="0B2E7956" w:rsidR="00457427" w:rsidRDefault="00457427" w:rsidP="006010C3">
            <w:pPr>
              <w:jc w:val="left"/>
            </w:pPr>
            <w:r>
              <w:t>Marienthal</w:t>
            </w:r>
          </w:p>
        </w:tc>
      </w:tr>
      <w:tr w:rsidR="00457427" w14:paraId="68D10D63" w14:textId="77777777" w:rsidTr="006010C3">
        <w:tc>
          <w:tcPr>
            <w:tcW w:w="2122" w:type="dxa"/>
            <w:shd w:val="clear" w:color="auto" w:fill="B4C6E7" w:themeFill="accent1" w:themeFillTint="66"/>
          </w:tcPr>
          <w:p w14:paraId="6765C8B3" w14:textId="725CCCB9" w:rsidR="00457427" w:rsidRDefault="00457427" w:rsidP="006010C3">
            <w:pPr>
              <w:jc w:val="left"/>
            </w:pPr>
            <w:r>
              <w:t>1. Januar 1905</w:t>
            </w:r>
          </w:p>
        </w:tc>
        <w:tc>
          <w:tcPr>
            <w:tcW w:w="6940" w:type="dxa"/>
            <w:shd w:val="clear" w:color="auto" w:fill="B4C6E7" w:themeFill="accent1" w:themeFillTint="66"/>
          </w:tcPr>
          <w:p w14:paraId="46D15C5C" w14:textId="5C7EC058" w:rsidR="00457427" w:rsidRDefault="00457427" w:rsidP="006010C3">
            <w:pPr>
              <w:jc w:val="left"/>
            </w:pPr>
            <w:r>
              <w:t>Eckersbach</w:t>
            </w:r>
          </w:p>
        </w:tc>
      </w:tr>
      <w:tr w:rsidR="00457427" w14:paraId="1BF40AD8" w14:textId="77777777" w:rsidTr="006010C3">
        <w:tc>
          <w:tcPr>
            <w:tcW w:w="2122" w:type="dxa"/>
          </w:tcPr>
          <w:p w14:paraId="36FB723F" w14:textId="7B58030D" w:rsidR="00457427" w:rsidRDefault="00457427" w:rsidP="006010C3">
            <w:pPr>
              <w:jc w:val="left"/>
            </w:pPr>
            <w:r>
              <w:t>1. Januar 1922</w:t>
            </w:r>
          </w:p>
        </w:tc>
        <w:tc>
          <w:tcPr>
            <w:tcW w:w="6940" w:type="dxa"/>
          </w:tcPr>
          <w:p w14:paraId="675AA836" w14:textId="4D35A7FB" w:rsidR="00457427" w:rsidRDefault="00457427" w:rsidP="006010C3">
            <w:pPr>
              <w:jc w:val="left"/>
            </w:pPr>
            <w:r>
              <w:t>Weißenborn</w:t>
            </w:r>
          </w:p>
        </w:tc>
      </w:tr>
      <w:tr w:rsidR="00457427" w14:paraId="116C3201" w14:textId="77777777" w:rsidTr="006010C3">
        <w:tc>
          <w:tcPr>
            <w:tcW w:w="2122" w:type="dxa"/>
            <w:shd w:val="clear" w:color="auto" w:fill="B4C6E7" w:themeFill="accent1" w:themeFillTint="66"/>
          </w:tcPr>
          <w:p w14:paraId="7C50B12B" w14:textId="0AEB88E4" w:rsidR="00457427" w:rsidRDefault="00457427" w:rsidP="006010C3">
            <w:pPr>
              <w:jc w:val="left"/>
            </w:pPr>
            <w:r>
              <w:lastRenderedPageBreak/>
              <w:t xml:space="preserve">1. Januar 1923 </w:t>
            </w:r>
          </w:p>
        </w:tc>
        <w:tc>
          <w:tcPr>
            <w:tcW w:w="6940" w:type="dxa"/>
            <w:shd w:val="clear" w:color="auto" w:fill="B4C6E7" w:themeFill="accent1" w:themeFillTint="66"/>
          </w:tcPr>
          <w:p w14:paraId="3EA9C15F" w14:textId="401002BB" w:rsidR="00457427" w:rsidRDefault="00457427" w:rsidP="006010C3">
            <w:pPr>
              <w:jc w:val="left"/>
            </w:pPr>
            <w:r>
              <w:t>Schedewitz</w:t>
            </w:r>
          </w:p>
        </w:tc>
      </w:tr>
      <w:tr w:rsidR="00457427" w14:paraId="0538E8C9" w14:textId="77777777" w:rsidTr="006010C3">
        <w:tc>
          <w:tcPr>
            <w:tcW w:w="2122" w:type="dxa"/>
          </w:tcPr>
          <w:p w14:paraId="7EC717B1" w14:textId="6D1F482E" w:rsidR="00457427" w:rsidRDefault="00457427" w:rsidP="006010C3">
            <w:pPr>
              <w:jc w:val="left"/>
            </w:pPr>
            <w:r>
              <w:t>1. April 1939</w:t>
            </w:r>
          </w:p>
        </w:tc>
        <w:tc>
          <w:tcPr>
            <w:tcW w:w="6940" w:type="dxa"/>
          </w:tcPr>
          <w:p w14:paraId="36E4DE82" w14:textId="34AB4705" w:rsidR="00457427" w:rsidRDefault="00457427" w:rsidP="006010C3">
            <w:pPr>
              <w:jc w:val="left"/>
            </w:pPr>
            <w:r>
              <w:t>Brand und Bockwa</w:t>
            </w:r>
          </w:p>
        </w:tc>
      </w:tr>
      <w:tr w:rsidR="00457427" w14:paraId="0AB5F989" w14:textId="77777777" w:rsidTr="006010C3">
        <w:tc>
          <w:tcPr>
            <w:tcW w:w="2122" w:type="dxa"/>
            <w:shd w:val="clear" w:color="auto" w:fill="B4C6E7" w:themeFill="accent1" w:themeFillTint="66"/>
          </w:tcPr>
          <w:p w14:paraId="73472C66" w14:textId="20303B1F" w:rsidR="00457427" w:rsidRDefault="00457427" w:rsidP="006010C3">
            <w:pPr>
              <w:jc w:val="left"/>
            </w:pPr>
            <w:r>
              <w:t>1. Januar 1944</w:t>
            </w:r>
          </w:p>
        </w:tc>
        <w:tc>
          <w:tcPr>
            <w:tcW w:w="6940" w:type="dxa"/>
            <w:shd w:val="clear" w:color="auto" w:fill="B4C6E7" w:themeFill="accent1" w:themeFillTint="66"/>
          </w:tcPr>
          <w:p w14:paraId="0C7F4CE7" w14:textId="3CA0A06A" w:rsidR="00457427" w:rsidRDefault="00457427" w:rsidP="006010C3">
            <w:pPr>
              <w:jc w:val="left"/>
            </w:pPr>
            <w:r>
              <w:t>Oberhohndorf und die Stadt Planitz (Ober- und Niederplanitz)</w:t>
            </w:r>
          </w:p>
        </w:tc>
      </w:tr>
      <w:tr w:rsidR="00457427" w14:paraId="259F7537" w14:textId="77777777" w:rsidTr="006010C3">
        <w:tc>
          <w:tcPr>
            <w:tcW w:w="2122" w:type="dxa"/>
          </w:tcPr>
          <w:p w14:paraId="73529C27" w14:textId="67AA3814" w:rsidR="00457427" w:rsidRDefault="00457427" w:rsidP="006010C3">
            <w:pPr>
              <w:jc w:val="left"/>
            </w:pPr>
            <w:r>
              <w:t>4. Dezember 1952</w:t>
            </w:r>
          </w:p>
        </w:tc>
        <w:tc>
          <w:tcPr>
            <w:tcW w:w="6940" w:type="dxa"/>
          </w:tcPr>
          <w:p w14:paraId="433D66D9" w14:textId="5D525FC9" w:rsidR="00457427" w:rsidRDefault="00457427" w:rsidP="006010C3">
            <w:pPr>
              <w:jc w:val="left"/>
            </w:pPr>
            <w:r>
              <w:t>Auerbach, Pöhlau und Niederhohndorf</w:t>
            </w:r>
          </w:p>
        </w:tc>
      </w:tr>
      <w:tr w:rsidR="00457427" w14:paraId="2B4A9388" w14:textId="77777777" w:rsidTr="006010C3">
        <w:tc>
          <w:tcPr>
            <w:tcW w:w="2122" w:type="dxa"/>
            <w:shd w:val="clear" w:color="auto" w:fill="B4C6E7" w:themeFill="accent1" w:themeFillTint="66"/>
          </w:tcPr>
          <w:p w14:paraId="6A358108" w14:textId="75E2F729" w:rsidR="00457427" w:rsidRDefault="00457427" w:rsidP="006010C3">
            <w:pPr>
              <w:jc w:val="left"/>
            </w:pPr>
            <w:r>
              <w:t>1. Januar 1993</w:t>
            </w:r>
          </w:p>
        </w:tc>
        <w:tc>
          <w:tcPr>
            <w:tcW w:w="6940" w:type="dxa"/>
            <w:shd w:val="clear" w:color="auto" w:fill="B4C6E7" w:themeFill="accent1" w:themeFillTint="66"/>
          </w:tcPr>
          <w:p w14:paraId="21A3FDC1" w14:textId="34EDC2C9" w:rsidR="00457427" w:rsidRDefault="00457427" w:rsidP="006010C3">
            <w:pPr>
              <w:jc w:val="left"/>
            </w:pPr>
            <w:r>
              <w:t>Hartmannsdorf</w:t>
            </w:r>
          </w:p>
        </w:tc>
      </w:tr>
      <w:tr w:rsidR="00457427" w14:paraId="5AF2437A" w14:textId="77777777" w:rsidTr="006010C3">
        <w:tc>
          <w:tcPr>
            <w:tcW w:w="2122" w:type="dxa"/>
          </w:tcPr>
          <w:p w14:paraId="1E4BFB11" w14:textId="0BE4B815" w:rsidR="00457427" w:rsidRDefault="00457427" w:rsidP="006010C3">
            <w:pPr>
              <w:jc w:val="left"/>
            </w:pPr>
            <w:r>
              <w:t>1. April 1996</w:t>
            </w:r>
          </w:p>
        </w:tc>
        <w:tc>
          <w:tcPr>
            <w:tcW w:w="6940" w:type="dxa"/>
          </w:tcPr>
          <w:p w14:paraId="63EB74F2" w14:textId="61686D7A" w:rsidR="00457427" w:rsidRDefault="00457427" w:rsidP="006010C3">
            <w:pPr>
              <w:jc w:val="left"/>
            </w:pPr>
            <w:r>
              <w:t>Rottmannsdorf</w:t>
            </w:r>
          </w:p>
        </w:tc>
      </w:tr>
      <w:tr w:rsidR="00457427" w14:paraId="1D2E9A0B" w14:textId="77777777" w:rsidTr="006010C3">
        <w:tc>
          <w:tcPr>
            <w:tcW w:w="2122" w:type="dxa"/>
            <w:shd w:val="clear" w:color="auto" w:fill="B4C6E7" w:themeFill="accent1" w:themeFillTint="66"/>
          </w:tcPr>
          <w:p w14:paraId="504AC266" w14:textId="5C1212EA" w:rsidR="00457427" w:rsidRDefault="00457427" w:rsidP="006010C3">
            <w:pPr>
              <w:jc w:val="left"/>
            </w:pPr>
            <w:r>
              <w:t>1. Oktober 1996</w:t>
            </w:r>
          </w:p>
        </w:tc>
        <w:tc>
          <w:tcPr>
            <w:tcW w:w="6940" w:type="dxa"/>
            <w:shd w:val="clear" w:color="auto" w:fill="B4C6E7" w:themeFill="accent1" w:themeFillTint="66"/>
          </w:tcPr>
          <w:p w14:paraId="5F10A8F5" w14:textId="4C1B4470" w:rsidR="00457427" w:rsidRDefault="00457427" w:rsidP="006010C3">
            <w:pPr>
              <w:jc w:val="left"/>
            </w:pPr>
            <w:r>
              <w:t>Crossen und Schneppendorf</w:t>
            </w:r>
          </w:p>
        </w:tc>
      </w:tr>
      <w:tr w:rsidR="00457427" w14:paraId="1C47F602" w14:textId="77777777" w:rsidTr="006010C3">
        <w:tc>
          <w:tcPr>
            <w:tcW w:w="2122" w:type="dxa"/>
          </w:tcPr>
          <w:p w14:paraId="2703EC61" w14:textId="64B1DC33" w:rsidR="00457427" w:rsidRDefault="00457427" w:rsidP="006010C3">
            <w:pPr>
              <w:jc w:val="left"/>
            </w:pPr>
            <w:r>
              <w:t>1. Januar 1999</w:t>
            </w:r>
          </w:p>
        </w:tc>
        <w:tc>
          <w:tcPr>
            <w:tcW w:w="6940" w:type="dxa"/>
          </w:tcPr>
          <w:p w14:paraId="5C900621" w14:textId="51CF0B33" w:rsidR="00457427" w:rsidRDefault="00457427" w:rsidP="006010C3">
            <w:pPr>
              <w:jc w:val="left"/>
            </w:pPr>
            <w:r>
              <w:t>Cainsdorf, Mosel, Oberrothenbach, Schlunzig, Hüttelsgrün, Freiheitssiedlung</w:t>
            </w:r>
          </w:p>
        </w:tc>
      </w:tr>
    </w:tbl>
    <w:p w14:paraId="6DFEA417" w14:textId="77777777" w:rsidR="006010C3" w:rsidRDefault="00457427" w:rsidP="00457427">
      <w:r>
        <w:cr/>
      </w:r>
    </w:p>
    <w:p w14:paraId="6F87D7B8" w14:textId="52ADBB7E" w:rsidR="00457427" w:rsidRDefault="00457427" w:rsidP="006010C3">
      <w:pPr>
        <w:pStyle w:val="berschrift2"/>
      </w:pPr>
      <w:bookmarkStart w:id="7" w:name="_Toc65169795"/>
      <w:r>
        <w:t>Nachbargemeinden</w:t>
      </w:r>
      <w:bookmarkEnd w:id="7"/>
    </w:p>
    <w:p w14:paraId="653DDFD6" w14:textId="4A8BC816" w:rsidR="00457427" w:rsidRDefault="00457427" w:rsidP="00457427">
      <w:r>
        <w:t>Die nachfolgenden Städte und Gemeinden grenzen an die Stadt Zwickau. Sie gehören zum Landkreis Zwickau und werden im Uhrzeigersinn beginnend im Nordosten genannt:</w:t>
      </w:r>
    </w:p>
    <w:p w14:paraId="11C11493" w14:textId="77777777" w:rsidR="00457427" w:rsidRDefault="00457427" w:rsidP="00457427">
      <w:r>
        <w:t>Mülsen, Reinsdorf, Stadt Wilkau-Haßlau, Hirschfeld (Verwaltungsgemeinschaft Kirchberg), Lichtentanne, Stadt Werdau, Neukirchen, Stadt Crimmitschau, Dennheritz (Verwaltungsgemeinschaft Crimmitschau-Dennheritz) und die Stadt Glauchau.</w:t>
      </w:r>
    </w:p>
    <w:p w14:paraId="0CAB5CDE" w14:textId="30F12111" w:rsidR="00894865" w:rsidRDefault="00894865" w:rsidP="00457427"/>
    <w:sectPr w:rsidR="008948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2EAC9" w14:textId="77777777" w:rsidR="00AC4A74" w:rsidRDefault="00AC4A74" w:rsidP="00962D2F">
      <w:pPr>
        <w:spacing w:after="0" w:line="240" w:lineRule="auto"/>
      </w:pPr>
      <w:r>
        <w:separator/>
      </w:r>
    </w:p>
  </w:endnote>
  <w:endnote w:type="continuationSeparator" w:id="0">
    <w:p w14:paraId="5977D9BA" w14:textId="77777777" w:rsidR="00AC4A74" w:rsidRDefault="00AC4A74" w:rsidP="0096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A65B8" w14:textId="77777777" w:rsidR="00AC4A74" w:rsidRDefault="00AC4A74" w:rsidP="00962D2F">
      <w:pPr>
        <w:spacing w:after="0" w:line="240" w:lineRule="auto"/>
      </w:pPr>
      <w:r>
        <w:separator/>
      </w:r>
    </w:p>
  </w:footnote>
  <w:footnote w:type="continuationSeparator" w:id="0">
    <w:p w14:paraId="6D18242B" w14:textId="77777777" w:rsidR="00AC4A74" w:rsidRDefault="00AC4A74" w:rsidP="00962D2F">
      <w:pPr>
        <w:spacing w:after="0" w:line="240" w:lineRule="auto"/>
      </w:pPr>
      <w:r>
        <w:continuationSeparator/>
      </w:r>
    </w:p>
  </w:footnote>
  <w:footnote w:id="1">
    <w:p w14:paraId="2F8951BF" w14:textId="2D8E4C8A" w:rsidR="00962D2F" w:rsidRDefault="00962D2F">
      <w:pPr>
        <w:pStyle w:val="Funotentext"/>
      </w:pPr>
      <w:r>
        <w:rPr>
          <w:rStyle w:val="Funotenzeichen"/>
        </w:rPr>
        <w:footnoteRef/>
      </w:r>
      <w:r>
        <w:t xml:space="preserve"> </w:t>
      </w:r>
      <w:r>
        <w:t>zugleich Ortschaft</w:t>
      </w:r>
    </w:p>
  </w:footnote>
  <w:footnote w:id="2">
    <w:p w14:paraId="4236DEDA" w14:textId="471B08EC" w:rsidR="00962D2F" w:rsidRDefault="00962D2F">
      <w:pPr>
        <w:pStyle w:val="Funotentext"/>
      </w:pPr>
      <w:r>
        <w:rPr>
          <w:rStyle w:val="Funotenzeichen"/>
        </w:rPr>
        <w:footnoteRef/>
      </w:r>
      <w:r>
        <w:t xml:space="preserve"> </w:t>
      </w:r>
      <w:r>
        <w:t>zugleich Ortschaft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8E9"/>
    <w:multiLevelType w:val="hybridMultilevel"/>
    <w:tmpl w:val="BCB88C7E"/>
    <w:lvl w:ilvl="0" w:tplc="87B4A92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8E28A8"/>
    <w:multiLevelType w:val="hybridMultilevel"/>
    <w:tmpl w:val="B8F89E6C"/>
    <w:lvl w:ilvl="0" w:tplc="87B4A92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1B05A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27"/>
    <w:rsid w:val="00131F75"/>
    <w:rsid w:val="001349B7"/>
    <w:rsid w:val="00217AD3"/>
    <w:rsid w:val="003A53DC"/>
    <w:rsid w:val="00457427"/>
    <w:rsid w:val="006010C3"/>
    <w:rsid w:val="00894865"/>
    <w:rsid w:val="00962D2F"/>
    <w:rsid w:val="009F3056"/>
    <w:rsid w:val="00AC4A74"/>
    <w:rsid w:val="00B432D2"/>
    <w:rsid w:val="00F642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4333"/>
  <w15:chartTrackingRefBased/>
  <w15:docId w15:val="{AFDB9F8B-6A6A-4DF6-AE2E-1B82806F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10C3"/>
    <w:pPr>
      <w:spacing w:after="200"/>
      <w:jc w:val="center"/>
    </w:pPr>
    <w:rPr>
      <w:rFonts w:ascii="Times New Roman" w:hAnsi="Times New Roman"/>
    </w:rPr>
  </w:style>
  <w:style w:type="paragraph" w:styleId="berschrift1">
    <w:name w:val="heading 1"/>
    <w:basedOn w:val="Standard"/>
    <w:next w:val="Standard"/>
    <w:link w:val="berschrift1Zchn"/>
    <w:uiPriority w:val="9"/>
    <w:qFormat/>
    <w:rsid w:val="006010C3"/>
    <w:pPr>
      <w:keepNext/>
      <w:keepLines/>
      <w:numPr>
        <w:numId w:val="1"/>
      </w:numPr>
      <w:spacing w:before="240" w:after="0"/>
      <w:jc w:val="left"/>
      <w:outlineLvl w:val="0"/>
    </w:pPr>
    <w:rPr>
      <w:rFonts w:eastAsiaTheme="majorEastAsia" w:cstheme="majorBidi"/>
      <w:i/>
      <w:color w:val="000000" w:themeColor="text1"/>
      <w:sz w:val="32"/>
      <w:szCs w:val="32"/>
    </w:rPr>
  </w:style>
  <w:style w:type="paragraph" w:styleId="berschrift2">
    <w:name w:val="heading 2"/>
    <w:basedOn w:val="Standard"/>
    <w:next w:val="Standard"/>
    <w:link w:val="berschrift2Zchn"/>
    <w:uiPriority w:val="9"/>
    <w:unhideWhenUsed/>
    <w:qFormat/>
    <w:rsid w:val="006010C3"/>
    <w:pPr>
      <w:keepNext/>
      <w:keepLines/>
      <w:numPr>
        <w:ilvl w:val="1"/>
        <w:numId w:val="1"/>
      </w:numPr>
      <w:spacing w:before="40" w:after="0"/>
      <w:jc w:val="left"/>
      <w:outlineLvl w:val="1"/>
    </w:pPr>
    <w:rPr>
      <w:rFonts w:eastAsiaTheme="majorEastAsia" w:cstheme="majorBidi"/>
      <w:i/>
      <w:color w:val="000000" w:themeColor="text1"/>
      <w:sz w:val="28"/>
      <w:szCs w:val="26"/>
    </w:rPr>
  </w:style>
  <w:style w:type="paragraph" w:styleId="berschrift3">
    <w:name w:val="heading 3"/>
    <w:basedOn w:val="Standard"/>
    <w:next w:val="Standard"/>
    <w:link w:val="berschrift3Zchn"/>
    <w:uiPriority w:val="9"/>
    <w:semiHidden/>
    <w:unhideWhenUsed/>
    <w:qFormat/>
    <w:rsid w:val="006010C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6010C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010C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010C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010C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6010C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010C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5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010C3"/>
    <w:rPr>
      <w:rFonts w:ascii="Times New Roman" w:eastAsiaTheme="majorEastAsia" w:hAnsi="Times New Roman" w:cstheme="majorBidi"/>
      <w:i/>
      <w:color w:val="000000" w:themeColor="text1"/>
      <w:sz w:val="32"/>
      <w:szCs w:val="32"/>
    </w:rPr>
  </w:style>
  <w:style w:type="character" w:customStyle="1" w:styleId="berschrift2Zchn">
    <w:name w:val="Überschrift 2 Zchn"/>
    <w:basedOn w:val="Absatz-Standardschriftart"/>
    <w:link w:val="berschrift2"/>
    <w:uiPriority w:val="9"/>
    <w:rsid w:val="006010C3"/>
    <w:rPr>
      <w:rFonts w:ascii="Times New Roman" w:eastAsiaTheme="majorEastAsia" w:hAnsi="Times New Roman" w:cstheme="majorBidi"/>
      <w:i/>
      <w:color w:val="000000" w:themeColor="text1"/>
      <w:sz w:val="28"/>
      <w:szCs w:val="26"/>
    </w:rPr>
  </w:style>
  <w:style w:type="character" w:customStyle="1" w:styleId="berschrift3Zchn">
    <w:name w:val="Überschrift 3 Zchn"/>
    <w:basedOn w:val="Absatz-Standardschriftart"/>
    <w:link w:val="berschrift3"/>
    <w:uiPriority w:val="9"/>
    <w:semiHidden/>
    <w:rsid w:val="006010C3"/>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6010C3"/>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010C3"/>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6010C3"/>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6010C3"/>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6010C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010C3"/>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6010C3"/>
    <w:pPr>
      <w:spacing w:after="0" w:line="240" w:lineRule="auto"/>
      <w:contextualSpacing/>
      <w:jc w:val="left"/>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10C3"/>
    <w:rPr>
      <w:rFonts w:asciiTheme="majorHAnsi" w:eastAsiaTheme="majorEastAsia" w:hAnsiTheme="majorHAnsi" w:cstheme="majorBidi"/>
      <w:spacing w:val="-10"/>
      <w:kern w:val="28"/>
      <w:sz w:val="56"/>
      <w:szCs w:val="56"/>
    </w:rPr>
  </w:style>
  <w:style w:type="paragraph" w:styleId="Inhaltsverzeichnisberschrift">
    <w:name w:val="TOC Heading"/>
    <w:basedOn w:val="berschrift1"/>
    <w:next w:val="Standard"/>
    <w:uiPriority w:val="39"/>
    <w:unhideWhenUsed/>
    <w:qFormat/>
    <w:rsid w:val="006010C3"/>
    <w:pPr>
      <w:numPr>
        <w:numId w:val="0"/>
      </w:numPr>
      <w:outlineLvl w:val="9"/>
    </w:pPr>
    <w:rPr>
      <w:rFonts w:asciiTheme="majorHAnsi" w:hAnsiTheme="majorHAnsi"/>
      <w:i w:val="0"/>
      <w:color w:val="2F5496" w:themeColor="accent1" w:themeShade="BF"/>
      <w:lang w:eastAsia="de-DE"/>
    </w:rPr>
  </w:style>
  <w:style w:type="paragraph" w:styleId="Verzeichnis1">
    <w:name w:val="toc 1"/>
    <w:basedOn w:val="Standard"/>
    <w:next w:val="Standard"/>
    <w:autoRedefine/>
    <w:uiPriority w:val="39"/>
    <w:unhideWhenUsed/>
    <w:rsid w:val="006010C3"/>
    <w:pPr>
      <w:spacing w:after="100"/>
    </w:pPr>
  </w:style>
  <w:style w:type="paragraph" w:styleId="Verzeichnis2">
    <w:name w:val="toc 2"/>
    <w:basedOn w:val="Standard"/>
    <w:next w:val="Standard"/>
    <w:autoRedefine/>
    <w:uiPriority w:val="39"/>
    <w:unhideWhenUsed/>
    <w:rsid w:val="006010C3"/>
    <w:pPr>
      <w:spacing w:after="100"/>
      <w:ind w:left="220"/>
    </w:pPr>
  </w:style>
  <w:style w:type="character" w:styleId="Hyperlink">
    <w:name w:val="Hyperlink"/>
    <w:basedOn w:val="Absatz-Standardschriftart"/>
    <w:uiPriority w:val="99"/>
    <w:unhideWhenUsed/>
    <w:rsid w:val="006010C3"/>
    <w:rPr>
      <w:color w:val="0563C1" w:themeColor="hyperlink"/>
      <w:u w:val="single"/>
    </w:rPr>
  </w:style>
  <w:style w:type="paragraph" w:styleId="Listenabsatz">
    <w:name w:val="List Paragraph"/>
    <w:basedOn w:val="Standard"/>
    <w:uiPriority w:val="34"/>
    <w:qFormat/>
    <w:rsid w:val="006010C3"/>
    <w:pPr>
      <w:ind w:left="720"/>
      <w:contextualSpacing/>
    </w:pPr>
  </w:style>
  <w:style w:type="paragraph" w:styleId="Beschriftung">
    <w:name w:val="caption"/>
    <w:basedOn w:val="Standard"/>
    <w:next w:val="Standard"/>
    <w:uiPriority w:val="35"/>
    <w:unhideWhenUsed/>
    <w:qFormat/>
    <w:rsid w:val="006010C3"/>
    <w:pPr>
      <w:spacing w:line="240" w:lineRule="auto"/>
    </w:pPr>
    <w:rPr>
      <w:i/>
      <w:iCs/>
      <w:color w:val="44546A" w:themeColor="text2"/>
      <w:sz w:val="18"/>
      <w:szCs w:val="18"/>
    </w:rPr>
  </w:style>
  <w:style w:type="paragraph" w:styleId="Abbildungsverzeichnis">
    <w:name w:val="table of figures"/>
    <w:basedOn w:val="Standard"/>
    <w:next w:val="Standard"/>
    <w:uiPriority w:val="99"/>
    <w:unhideWhenUsed/>
    <w:rsid w:val="006010C3"/>
    <w:pPr>
      <w:spacing w:after="0"/>
    </w:pPr>
  </w:style>
  <w:style w:type="paragraph" w:styleId="Funotentext">
    <w:name w:val="footnote text"/>
    <w:basedOn w:val="Standard"/>
    <w:link w:val="FunotentextZchn"/>
    <w:uiPriority w:val="99"/>
    <w:semiHidden/>
    <w:unhideWhenUsed/>
    <w:rsid w:val="00962D2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62D2F"/>
    <w:rPr>
      <w:rFonts w:ascii="Times New Roman" w:hAnsi="Times New Roman"/>
      <w:sz w:val="20"/>
      <w:szCs w:val="20"/>
    </w:rPr>
  </w:style>
  <w:style w:type="character" w:styleId="Funotenzeichen">
    <w:name w:val="footnote reference"/>
    <w:basedOn w:val="Absatz-Standardschriftart"/>
    <w:uiPriority w:val="99"/>
    <w:semiHidden/>
    <w:unhideWhenUsed/>
    <w:rsid w:val="00962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433BE-912F-4A43-83F0-A95F94B3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1333</Words>
  <Characters>8398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ms664965</dc:creator>
  <cp:keywords/>
  <dc:description/>
  <cp:lastModifiedBy>ms664965</cp:lastModifiedBy>
  <cp:revision>4</cp:revision>
  <cp:lastPrinted>2021-02-25T18:00:00Z</cp:lastPrinted>
  <dcterms:created xsi:type="dcterms:W3CDTF">2021-02-25T16:50:00Z</dcterms:created>
  <dcterms:modified xsi:type="dcterms:W3CDTF">2021-02-25T18:01:00Z</dcterms:modified>
</cp:coreProperties>
</file>