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CA72" w14:textId="0870B749" w:rsidR="00C3581E" w:rsidRPr="00E50259" w:rsidRDefault="002F073C" w:rsidP="009A5A83">
      <w:pPr>
        <w:spacing w:after="480"/>
        <w:jc w:val="center"/>
        <w:rPr>
          <w:rFonts w:ascii="Verdana" w:hAnsi="Verdana"/>
          <w:b/>
          <w:sz w:val="32"/>
        </w:rPr>
      </w:pPr>
      <w:r>
        <w:rPr>
          <w:rFonts w:ascii="Verdana" w:hAnsi="Verdana"/>
          <w:b/>
          <w:sz w:val="32"/>
        </w:rPr>
        <w:t>Lernreisen mit digitalem Whiteboard</w:t>
      </w:r>
    </w:p>
    <w:p w14:paraId="27205048" w14:textId="4C5515EF" w:rsidR="00C3581E" w:rsidRPr="00E50259" w:rsidRDefault="002F073C" w:rsidP="009A5A83">
      <w:pPr>
        <w:pStyle w:val="berschrift1"/>
        <w:tabs>
          <w:tab w:val="left" w:pos="0"/>
        </w:tabs>
        <w:spacing w:after="240"/>
        <w:rPr>
          <w:rFonts w:ascii="Verdana" w:hAnsi="Verdana"/>
          <w:vertAlign w:val="superscript"/>
          <w:lang w:val="de-DE"/>
        </w:rPr>
      </w:pPr>
      <w:r>
        <w:rPr>
          <w:rFonts w:ascii="Verdana" w:hAnsi="Verdana"/>
          <w:lang w:val="de-DE"/>
        </w:rPr>
        <w:t>S</w:t>
      </w:r>
      <w:r w:rsidR="00300721" w:rsidRPr="00E50259">
        <w:rPr>
          <w:rFonts w:ascii="Verdana" w:hAnsi="Verdana"/>
          <w:lang w:val="de-DE"/>
        </w:rPr>
        <w:t xml:space="preserve">. </w:t>
      </w:r>
      <w:r>
        <w:rPr>
          <w:rFonts w:ascii="Verdana" w:hAnsi="Verdana"/>
          <w:lang w:val="de-DE"/>
        </w:rPr>
        <w:t>Richter</w:t>
      </w:r>
      <w:r w:rsidR="00C3581E" w:rsidRPr="00E50259">
        <w:rPr>
          <w:rFonts w:ascii="Verdana" w:hAnsi="Verdana"/>
          <w:vertAlign w:val="superscript"/>
          <w:lang w:val="de-DE"/>
        </w:rPr>
        <w:t>1</w:t>
      </w:r>
    </w:p>
    <w:p w14:paraId="1DB49DF8" w14:textId="1D216EF9" w:rsidR="00C3581E" w:rsidRPr="00E50259" w:rsidRDefault="00C3581E">
      <w:pPr>
        <w:rPr>
          <w:rFonts w:ascii="Verdana" w:hAnsi="Verdana"/>
          <w:i/>
          <w:sz w:val="16"/>
        </w:rPr>
      </w:pPr>
      <w:r w:rsidRPr="00E50259">
        <w:rPr>
          <w:rFonts w:ascii="Verdana" w:hAnsi="Verdana"/>
          <w:i/>
          <w:sz w:val="16"/>
          <w:vertAlign w:val="superscript"/>
        </w:rPr>
        <w:t xml:space="preserve">1 </w:t>
      </w:r>
      <w:r w:rsidR="002F073C">
        <w:rPr>
          <w:rFonts w:ascii="Verdana" w:hAnsi="Verdana"/>
          <w:i/>
          <w:sz w:val="16"/>
        </w:rPr>
        <w:t>Digital Managerin DIU Dresden International University</w:t>
      </w:r>
    </w:p>
    <w:p w14:paraId="351CF555" w14:textId="26AAFD88" w:rsidR="00C3581E" w:rsidRPr="00E50259" w:rsidRDefault="00C3581E">
      <w:pPr>
        <w:rPr>
          <w:rFonts w:ascii="Verdana" w:hAnsi="Verdana"/>
          <w:i/>
          <w:sz w:val="16"/>
        </w:rPr>
      </w:pPr>
    </w:p>
    <w:p w14:paraId="32FC873C" w14:textId="77777777" w:rsidR="00C3581E" w:rsidRPr="00E50259" w:rsidRDefault="00C3581E">
      <w:pPr>
        <w:rPr>
          <w:rFonts w:ascii="Verdana" w:hAnsi="Verdana"/>
        </w:rPr>
      </w:pPr>
    </w:p>
    <w:p w14:paraId="1CDCDBF8" w14:textId="77777777" w:rsidR="00C3581E" w:rsidRPr="00E50259" w:rsidRDefault="00C3581E">
      <w:pPr>
        <w:rPr>
          <w:rFonts w:ascii="Verdana" w:hAnsi="Verdana"/>
        </w:rPr>
        <w:sectPr w:rsidR="00C3581E" w:rsidRPr="00E50259">
          <w:footnotePr>
            <w:pos w:val="beneathText"/>
          </w:footnotePr>
          <w:pgSz w:w="11905" w:h="16837"/>
          <w:pgMar w:top="1417" w:right="1417" w:bottom="1134" w:left="1417" w:header="720" w:footer="720" w:gutter="0"/>
          <w:cols w:space="720"/>
          <w:docGrid w:linePitch="360"/>
        </w:sectPr>
      </w:pPr>
    </w:p>
    <w:p w14:paraId="02B70597" w14:textId="3988363C" w:rsidR="00C3581E" w:rsidRDefault="002F073C">
      <w:pPr>
        <w:pStyle w:val="Textkrper"/>
        <w:rPr>
          <w:rFonts w:ascii="Verdana" w:hAnsi="Verdana"/>
          <w:sz w:val="20"/>
        </w:rPr>
      </w:pPr>
      <w:r>
        <w:rPr>
          <w:rFonts w:ascii="Verdana" w:hAnsi="Verdana"/>
          <w:sz w:val="20"/>
        </w:rPr>
        <w:t>Wie kann man Lernen so gestalten, dass Kreativität, Kollaboration und auch Freude am Lernen in den Fokus rücken und die reine Wissensvermittlung nicht den ganzen Lernraum einnimmt?</w:t>
      </w:r>
    </w:p>
    <w:p w14:paraId="46C95C94" w14:textId="3D88A62E" w:rsidR="002F073C" w:rsidRDefault="002F073C" w:rsidP="7E9353DE">
      <w:pPr>
        <w:pStyle w:val="Textkrper"/>
        <w:rPr>
          <w:rFonts w:ascii="Verdana" w:hAnsi="Verdana"/>
          <w:sz w:val="20"/>
        </w:rPr>
      </w:pPr>
      <w:r w:rsidRPr="7E9353DE">
        <w:rPr>
          <w:rFonts w:ascii="Verdana" w:hAnsi="Verdana"/>
          <w:sz w:val="20"/>
        </w:rPr>
        <w:t>Diese Frage beschäftigt uns an der DIU Dresden International University, da wir zum einen hauptsächlich berufsbegleitend Studierend</w:t>
      </w:r>
      <w:r w:rsidRPr="00DB4DCF">
        <w:rPr>
          <w:rFonts w:ascii="Verdana" w:hAnsi="Verdana"/>
          <w:sz w:val="20"/>
        </w:rPr>
        <w:t>e</w:t>
      </w:r>
      <w:r w:rsidR="003B3368" w:rsidRPr="00DB4DCF">
        <w:rPr>
          <w:rFonts w:ascii="Verdana" w:hAnsi="Verdana"/>
          <w:sz w:val="20"/>
        </w:rPr>
        <w:t>n</w:t>
      </w:r>
      <w:r w:rsidRPr="7E9353DE">
        <w:rPr>
          <w:rFonts w:ascii="Verdana" w:hAnsi="Verdana"/>
          <w:sz w:val="20"/>
        </w:rPr>
        <w:t xml:space="preserve"> zur Weiterentwicklung verhelfen und diese neben ihrer Arbeit offen für flexible Lernmodelle sind, die gern Spaß machen dürfen</w:t>
      </w:r>
      <w:r w:rsidR="3EEF7A6F" w:rsidRPr="7E9353DE">
        <w:rPr>
          <w:rFonts w:ascii="Verdana" w:hAnsi="Verdana"/>
          <w:sz w:val="20"/>
        </w:rPr>
        <w:t xml:space="preserve">, zum anderen ist uns wichtig, </w:t>
      </w:r>
      <w:r w:rsidR="396C0E58" w:rsidRPr="7E9353DE">
        <w:rPr>
          <w:rFonts w:ascii="Verdana" w:hAnsi="Verdana"/>
          <w:sz w:val="20"/>
        </w:rPr>
        <w:t>ein</w:t>
      </w:r>
      <w:r w:rsidR="3EEF7A6F" w:rsidRPr="7E9353DE">
        <w:rPr>
          <w:rFonts w:ascii="Verdana" w:hAnsi="Verdana"/>
          <w:sz w:val="20"/>
        </w:rPr>
        <w:t xml:space="preserve"> Miteinander </w:t>
      </w:r>
      <w:r w:rsidR="0B82BC3D" w:rsidRPr="7E9353DE">
        <w:rPr>
          <w:rFonts w:ascii="Verdana" w:hAnsi="Verdana"/>
          <w:sz w:val="20"/>
        </w:rPr>
        <w:t xml:space="preserve">zu </w:t>
      </w:r>
      <w:r w:rsidR="3EEF7A6F" w:rsidRPr="7E9353DE">
        <w:rPr>
          <w:rFonts w:ascii="Verdana" w:hAnsi="Verdana"/>
          <w:sz w:val="20"/>
        </w:rPr>
        <w:t>fördern</w:t>
      </w:r>
      <w:r w:rsidR="09103E2F" w:rsidRPr="7E9353DE">
        <w:rPr>
          <w:rFonts w:ascii="Verdana" w:hAnsi="Verdana"/>
          <w:sz w:val="20"/>
        </w:rPr>
        <w:t>, das dann wiederum in den Arbeitsalltag einfließen kann, um auch dort Impulse für ein WIR-Gefühl zu setzen</w:t>
      </w:r>
      <w:r w:rsidRPr="7E9353DE">
        <w:rPr>
          <w:rFonts w:ascii="Verdana" w:hAnsi="Verdana"/>
          <w:sz w:val="20"/>
        </w:rPr>
        <w:t>.</w:t>
      </w:r>
    </w:p>
    <w:p w14:paraId="0B9F0AF7" w14:textId="196FB5D0" w:rsidR="002F073C" w:rsidRDefault="002F073C">
      <w:pPr>
        <w:pStyle w:val="Textkrper"/>
        <w:rPr>
          <w:rFonts w:ascii="Verdana" w:hAnsi="Verdana"/>
          <w:sz w:val="20"/>
        </w:rPr>
      </w:pPr>
    </w:p>
    <w:p w14:paraId="6D9EA85A" w14:textId="3A894629" w:rsidR="002F073C" w:rsidRPr="00E50259" w:rsidRDefault="002F073C">
      <w:pPr>
        <w:pStyle w:val="Textkrper"/>
        <w:rPr>
          <w:rFonts w:ascii="Verdana" w:hAnsi="Verdana"/>
          <w:sz w:val="20"/>
        </w:rPr>
      </w:pPr>
      <w:r>
        <w:rPr>
          <w:rFonts w:ascii="Verdana" w:hAnsi="Verdana"/>
          <w:sz w:val="20"/>
        </w:rPr>
        <w:t>Wir etablieren deshalb das Prinzip der Lernreisen mit Unterstützung digitaler Whiteboards.</w:t>
      </w:r>
    </w:p>
    <w:p w14:paraId="425E1EBD" w14:textId="56442D7F" w:rsidR="00C3581E" w:rsidRPr="00E50259" w:rsidRDefault="002F073C" w:rsidP="009A5A83">
      <w:pPr>
        <w:spacing w:before="240" w:after="120"/>
        <w:jc w:val="both"/>
        <w:rPr>
          <w:rFonts w:ascii="Verdana" w:hAnsi="Verdana"/>
          <w:b/>
        </w:rPr>
      </w:pPr>
      <w:r>
        <w:rPr>
          <w:rFonts w:ascii="Verdana" w:hAnsi="Verdana"/>
          <w:b/>
        </w:rPr>
        <w:t>Lernreisen – was ist damit gemeint?</w:t>
      </w:r>
    </w:p>
    <w:p w14:paraId="75ADDE5C" w14:textId="77777777" w:rsidR="00174FEB" w:rsidRPr="002F073C" w:rsidRDefault="002F073C" w:rsidP="00174FEB">
      <w:pPr>
        <w:tabs>
          <w:tab w:val="left" w:pos="1276"/>
          <w:tab w:val="left" w:pos="2694"/>
        </w:tabs>
        <w:jc w:val="both"/>
        <w:rPr>
          <w:rFonts w:ascii="Verdana" w:hAnsi="Verdana"/>
        </w:rPr>
      </w:pPr>
      <w:r w:rsidRPr="002F073C">
        <w:rPr>
          <w:rFonts w:ascii="Verdana" w:hAnsi="Verdana"/>
        </w:rPr>
        <w:t>Unter Lernreisen verstehen wir</w:t>
      </w:r>
      <w:r>
        <w:rPr>
          <w:rFonts w:ascii="Verdana" w:hAnsi="Verdana"/>
        </w:rPr>
        <w:t xml:space="preserve"> einen Leitfaden durch die Lernveranstaltung mit einem Start, verschiedenen Etappen und  Gruppen</w:t>
      </w:r>
      <w:r w:rsidR="008F13A3">
        <w:rPr>
          <w:rFonts w:ascii="Verdana" w:hAnsi="Verdana"/>
        </w:rPr>
        <w:t>- bzw. Selbstlern</w:t>
      </w:r>
      <w:r>
        <w:rPr>
          <w:rFonts w:ascii="Verdana" w:hAnsi="Verdana"/>
        </w:rPr>
        <w:t xml:space="preserve">zielen, einem Ende und </w:t>
      </w:r>
      <w:r w:rsidR="004B7C48">
        <w:rPr>
          <w:rFonts w:ascii="Verdana" w:hAnsi="Verdana"/>
        </w:rPr>
        <w:t xml:space="preserve">zwischendurch sowie als Abschluss </w:t>
      </w:r>
      <w:r>
        <w:rPr>
          <w:rFonts w:ascii="Verdana" w:hAnsi="Verdana"/>
        </w:rPr>
        <w:t>Retrospektive</w:t>
      </w:r>
      <w:r w:rsidR="004B7C48">
        <w:rPr>
          <w:rFonts w:ascii="Verdana" w:hAnsi="Verdana"/>
        </w:rPr>
        <w:t>n</w:t>
      </w:r>
      <w:r>
        <w:rPr>
          <w:rFonts w:ascii="Verdana" w:hAnsi="Verdana"/>
        </w:rPr>
        <w:t>, um auch aus dem Blick zurück zu lernen.</w:t>
      </w:r>
      <w:r w:rsidR="008F13A3">
        <w:rPr>
          <w:rFonts w:ascii="Verdana" w:hAnsi="Verdana"/>
        </w:rPr>
        <w:t xml:space="preserve"> </w:t>
      </w:r>
      <w:r w:rsidR="00174FEB">
        <w:rPr>
          <w:rFonts w:ascii="Verdana" w:hAnsi="Verdana"/>
        </w:rPr>
        <w:t xml:space="preserve">Eine Lernreise verknüpft dabei synchrone und asynchrone Phasen. </w:t>
      </w:r>
    </w:p>
    <w:p w14:paraId="747CF00D" w14:textId="2A38655C" w:rsidR="00C3581E" w:rsidRDefault="00C3581E">
      <w:pPr>
        <w:tabs>
          <w:tab w:val="left" w:pos="1276"/>
          <w:tab w:val="left" w:pos="2694"/>
        </w:tabs>
        <w:jc w:val="both"/>
        <w:rPr>
          <w:rFonts w:ascii="Verdana" w:hAnsi="Verdana"/>
        </w:rPr>
      </w:pPr>
    </w:p>
    <w:p w14:paraId="3E5076CA" w14:textId="2FEA07A3" w:rsidR="002F073C" w:rsidRDefault="002F073C">
      <w:pPr>
        <w:tabs>
          <w:tab w:val="left" w:pos="1276"/>
          <w:tab w:val="left" w:pos="2694"/>
        </w:tabs>
        <w:jc w:val="both"/>
        <w:rPr>
          <w:rFonts w:ascii="Verdana" w:hAnsi="Verdan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tblGrid>
      <w:tr w:rsidR="004B7C48" w14:paraId="425365C9" w14:textId="77777777" w:rsidTr="004B7C48">
        <w:tc>
          <w:tcPr>
            <w:tcW w:w="4184" w:type="dxa"/>
          </w:tcPr>
          <w:p w14:paraId="741AC70E" w14:textId="1607B24F" w:rsidR="004B7C48" w:rsidRDefault="007B7938">
            <w:pPr>
              <w:tabs>
                <w:tab w:val="left" w:pos="1276"/>
                <w:tab w:val="left" w:pos="2694"/>
              </w:tabs>
              <w:jc w:val="both"/>
              <w:rPr>
                <w:rFonts w:ascii="Verdana" w:hAnsi="Verdana"/>
              </w:rPr>
            </w:pPr>
            <w:r>
              <w:rPr>
                <w:rFonts w:ascii="Verdana" w:hAnsi="Verdana"/>
                <w:noProof/>
              </w:rPr>
              <w:drawing>
                <wp:inline distT="0" distB="0" distL="0" distR="0" wp14:anchorId="40502C15" wp14:editId="265F14D9">
                  <wp:extent cx="2663190" cy="1866900"/>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3190" cy="1866900"/>
                          </a:xfrm>
                          <a:prstGeom prst="rect">
                            <a:avLst/>
                          </a:prstGeom>
                        </pic:spPr>
                      </pic:pic>
                    </a:graphicData>
                  </a:graphic>
                </wp:inline>
              </w:drawing>
            </w:r>
          </w:p>
        </w:tc>
      </w:tr>
      <w:tr w:rsidR="004B7C48" w14:paraId="5D1212A8" w14:textId="77777777" w:rsidTr="004B7C48">
        <w:tc>
          <w:tcPr>
            <w:tcW w:w="4184" w:type="dxa"/>
          </w:tcPr>
          <w:p w14:paraId="1474BA0C" w14:textId="34F955FB" w:rsidR="004B7C48" w:rsidRDefault="004B7C48">
            <w:pPr>
              <w:tabs>
                <w:tab w:val="left" w:pos="1276"/>
                <w:tab w:val="left" w:pos="2694"/>
              </w:tabs>
              <w:jc w:val="both"/>
              <w:rPr>
                <w:rFonts w:ascii="Verdana" w:hAnsi="Verdana"/>
              </w:rPr>
            </w:pPr>
            <w:r w:rsidRPr="00E50259">
              <w:rPr>
                <w:rFonts w:ascii="Verdana" w:hAnsi="Verdana"/>
                <w:i/>
                <w:sz w:val="18"/>
                <w:szCs w:val="18"/>
              </w:rPr>
              <w:t xml:space="preserve">Abb. 1: </w:t>
            </w:r>
            <w:r>
              <w:rPr>
                <w:rFonts w:ascii="Verdana" w:hAnsi="Verdana"/>
                <w:i/>
                <w:sz w:val="18"/>
                <w:szCs w:val="18"/>
              </w:rPr>
              <w:t>Lernreise [1]</w:t>
            </w:r>
          </w:p>
        </w:tc>
      </w:tr>
    </w:tbl>
    <w:p w14:paraId="4033D367" w14:textId="2D360832" w:rsidR="002F073C" w:rsidRDefault="002F073C">
      <w:pPr>
        <w:tabs>
          <w:tab w:val="left" w:pos="1276"/>
          <w:tab w:val="left" w:pos="2694"/>
        </w:tabs>
        <w:jc w:val="both"/>
        <w:rPr>
          <w:rFonts w:ascii="Verdana" w:hAnsi="Verdana"/>
        </w:rPr>
      </w:pPr>
    </w:p>
    <w:p w14:paraId="2E0D4B93" w14:textId="71ED3443" w:rsidR="004B7C48" w:rsidRDefault="00CC649D" w:rsidP="00174FEB">
      <w:pPr>
        <w:jc w:val="both"/>
        <w:rPr>
          <w:rFonts w:ascii="Verdana" w:hAnsi="Verdana"/>
          <w:bCs/>
          <w:i/>
          <w:iCs/>
        </w:rPr>
      </w:pPr>
      <w:r>
        <w:rPr>
          <w:rFonts w:ascii="Verdana" w:hAnsi="Verdana"/>
          <w:bCs/>
        </w:rPr>
        <w:br w:type="column"/>
      </w:r>
      <w:r w:rsidR="004B7C48" w:rsidRPr="00CC649D">
        <w:rPr>
          <w:rFonts w:ascii="Verdana" w:hAnsi="Verdana"/>
          <w:bCs/>
          <w:i/>
          <w:iCs/>
        </w:rPr>
        <w:t>Der Beginn der Reise</w:t>
      </w:r>
    </w:p>
    <w:p w14:paraId="33FAEA92" w14:textId="77777777" w:rsidR="00174FEB" w:rsidRPr="00CC649D" w:rsidRDefault="00174FEB" w:rsidP="00174FEB">
      <w:pPr>
        <w:jc w:val="both"/>
        <w:rPr>
          <w:rFonts w:ascii="Verdana" w:hAnsi="Verdana"/>
          <w:bCs/>
          <w:i/>
          <w:iCs/>
        </w:rPr>
      </w:pPr>
    </w:p>
    <w:p w14:paraId="4C570507" w14:textId="77777777" w:rsidR="00174FEB" w:rsidRDefault="004B7C48" w:rsidP="00174FEB">
      <w:pPr>
        <w:jc w:val="both"/>
        <w:rPr>
          <w:rFonts w:ascii="Verdana" w:hAnsi="Verdana"/>
          <w:bCs/>
        </w:rPr>
      </w:pPr>
      <w:r>
        <w:rPr>
          <w:rFonts w:ascii="Verdana" w:hAnsi="Verdana"/>
          <w:bCs/>
        </w:rPr>
        <w:t>Jede Reise beginnt mit einer Vorstellung der Lerngruppe</w:t>
      </w:r>
      <w:r w:rsidR="008F13A3">
        <w:rPr>
          <w:rFonts w:ascii="Verdana" w:hAnsi="Verdana"/>
          <w:bCs/>
        </w:rPr>
        <w:t xml:space="preserve"> und der Definition der Ziele</w:t>
      </w:r>
      <w:r>
        <w:rPr>
          <w:rFonts w:ascii="Verdana" w:hAnsi="Verdana"/>
          <w:bCs/>
        </w:rPr>
        <w:t>.</w:t>
      </w:r>
      <w:r w:rsidR="008F13A3">
        <w:rPr>
          <w:rFonts w:ascii="Verdana" w:hAnsi="Verdana"/>
          <w:bCs/>
        </w:rPr>
        <w:t xml:space="preserve"> Der Zweck der Reise muss allen klar sein, damit sie innerhalb der Reise nicht vom Weg abkommen. </w:t>
      </w:r>
    </w:p>
    <w:p w14:paraId="68DD0172" w14:textId="77777777" w:rsidR="00174FEB" w:rsidRDefault="00174FEB" w:rsidP="00174FEB">
      <w:pPr>
        <w:jc w:val="both"/>
        <w:rPr>
          <w:rFonts w:ascii="Verdana" w:hAnsi="Verdana"/>
          <w:bCs/>
        </w:rPr>
      </w:pPr>
    </w:p>
    <w:p w14:paraId="66402A8C" w14:textId="018D5732" w:rsidR="004B7C48" w:rsidRDefault="004B7C48" w:rsidP="00174FEB">
      <w:pPr>
        <w:jc w:val="both"/>
        <w:rPr>
          <w:rFonts w:ascii="Verdana" w:hAnsi="Verdana"/>
          <w:bCs/>
        </w:rPr>
      </w:pPr>
      <w:r>
        <w:rPr>
          <w:rFonts w:ascii="Verdana" w:hAnsi="Verdana"/>
          <w:bCs/>
        </w:rPr>
        <w:t>Hier lernen sich Teilnehmende und Lernbegleiter:innen kennen. Dabei geht es nicht zwa</w:t>
      </w:r>
      <w:r w:rsidR="008F13A3">
        <w:rPr>
          <w:rFonts w:ascii="Verdana" w:hAnsi="Verdana"/>
          <w:bCs/>
        </w:rPr>
        <w:t>n</w:t>
      </w:r>
      <w:r>
        <w:rPr>
          <w:rFonts w:ascii="Verdana" w:hAnsi="Verdana"/>
          <w:bCs/>
        </w:rPr>
        <w:t>gsläufig um fachliches Wissen, sondern eher um die Menschen, die gemeinsam zu dieser Reise aufbrechen. Wie bei einer Urlaubsreise soll eine wertschätzende und fröhliche Stimmung aufkommen können.</w:t>
      </w:r>
    </w:p>
    <w:p w14:paraId="2656D868" w14:textId="77777777" w:rsidR="00174FEB" w:rsidRDefault="00174FEB" w:rsidP="00174FEB">
      <w:pPr>
        <w:jc w:val="both"/>
        <w:rPr>
          <w:rFonts w:ascii="Verdana" w:hAnsi="Verdana"/>
          <w:bCs/>
        </w:rPr>
      </w:pPr>
    </w:p>
    <w:p w14:paraId="7B40F9F7" w14:textId="6CB8CCF2" w:rsidR="004B7C48" w:rsidRDefault="004B7C48" w:rsidP="00174FEB">
      <w:pPr>
        <w:jc w:val="both"/>
        <w:rPr>
          <w:rFonts w:ascii="Verdana" w:hAnsi="Verdana"/>
          <w:bCs/>
        </w:rPr>
      </w:pPr>
      <w:r>
        <w:rPr>
          <w:rFonts w:ascii="Verdana" w:hAnsi="Verdana"/>
          <w:bCs/>
        </w:rPr>
        <w:t xml:space="preserve">Für einen guten Start gibt es vielfältige Methoden und Tools. Ein Beispiel ist eine Kombination aus der Methode Impromptu Networking aus dem Liberating-Structures-Methodenkoffer mit der Website </w:t>
      </w:r>
      <w:hyperlink r:id="rId9" w:history="1">
        <w:r w:rsidRPr="00BD3715">
          <w:rPr>
            <w:rStyle w:val="Hyperlink"/>
            <w:rFonts w:ascii="Verdana" w:hAnsi="Verdana"/>
            <w:bCs/>
          </w:rPr>
          <w:t>https://tscheck.in/</w:t>
        </w:r>
      </w:hyperlink>
      <w:r>
        <w:rPr>
          <w:rFonts w:ascii="Verdana" w:hAnsi="Verdana"/>
          <w:bCs/>
        </w:rPr>
        <w:t>.</w:t>
      </w:r>
    </w:p>
    <w:p w14:paraId="089B49FB" w14:textId="77777777" w:rsidR="00174FEB" w:rsidRDefault="00174FEB" w:rsidP="00174FEB">
      <w:pPr>
        <w:jc w:val="both"/>
        <w:rPr>
          <w:rFonts w:ascii="Verdana" w:hAnsi="Verdana"/>
          <w:bCs/>
        </w:rPr>
      </w:pPr>
    </w:p>
    <w:p w14:paraId="2C84379D" w14:textId="4871C6D3" w:rsidR="004B7C48" w:rsidRDefault="004B7C48" w:rsidP="00174FEB">
      <w:pPr>
        <w:jc w:val="both"/>
        <w:rPr>
          <w:rFonts w:ascii="Verdana" w:hAnsi="Verdana"/>
          <w:bCs/>
        </w:rPr>
      </w:pPr>
      <w:r>
        <w:rPr>
          <w:rFonts w:ascii="Verdana" w:hAnsi="Verdana"/>
          <w:bCs/>
        </w:rPr>
        <w:t xml:space="preserve">Wichtig ist, dass sich alle Teilnehmenden einbezogen fühlen und dass ein Miteinander auf Augenhöhe entstehen kann. Es geht beim Einstimmen auf die Reise also darum, </w:t>
      </w:r>
      <w:r w:rsidR="001414DB">
        <w:rPr>
          <w:rFonts w:ascii="Verdana" w:hAnsi="Verdana"/>
          <w:bCs/>
        </w:rPr>
        <w:t xml:space="preserve">Vertrauen aufzubauen und </w:t>
      </w:r>
      <w:r>
        <w:rPr>
          <w:rFonts w:ascii="Verdana" w:hAnsi="Verdana"/>
          <w:bCs/>
        </w:rPr>
        <w:t>zu schauen, welche Gemeinsamkeiten die Teilnehmenden haben</w:t>
      </w:r>
      <w:r w:rsidR="001414DB">
        <w:rPr>
          <w:rFonts w:ascii="Verdana" w:hAnsi="Verdana"/>
          <w:bCs/>
        </w:rPr>
        <w:t>.</w:t>
      </w:r>
      <w:r>
        <w:rPr>
          <w:rFonts w:ascii="Verdana" w:hAnsi="Verdana"/>
          <w:bCs/>
        </w:rPr>
        <w:t xml:space="preserve"> </w:t>
      </w:r>
    </w:p>
    <w:p w14:paraId="4FE55FAC" w14:textId="77777777" w:rsidR="00174FEB" w:rsidRDefault="00174FEB" w:rsidP="00174FEB">
      <w:pPr>
        <w:jc w:val="both"/>
        <w:rPr>
          <w:rFonts w:ascii="Verdana" w:hAnsi="Verdana"/>
          <w:bCs/>
        </w:rPr>
      </w:pPr>
    </w:p>
    <w:p w14:paraId="640705AB" w14:textId="2D942D37" w:rsidR="008F13A3" w:rsidRDefault="008F13A3" w:rsidP="00174FEB">
      <w:pPr>
        <w:jc w:val="both"/>
        <w:rPr>
          <w:rFonts w:ascii="Verdana" w:hAnsi="Verdana"/>
          <w:bCs/>
        </w:rPr>
      </w:pPr>
      <w:r>
        <w:rPr>
          <w:rFonts w:ascii="Verdana" w:hAnsi="Verdana"/>
          <w:bCs/>
        </w:rPr>
        <w:t>Die Ziele der Reise sollen so formuliert werden, dass allen der Rahmen klar ist. Aus dem Projektmanagement leihen wir uns hier die SMART-Formel aus:</w:t>
      </w:r>
    </w:p>
    <w:p w14:paraId="289767C1" w14:textId="77777777" w:rsidR="00174FEB" w:rsidRDefault="00174FEB" w:rsidP="00174FEB">
      <w:pPr>
        <w:jc w:val="both"/>
        <w:rPr>
          <w:rFonts w:ascii="Verdana" w:hAnsi="Verdana"/>
          <w:bCs/>
        </w:rPr>
      </w:pPr>
    </w:p>
    <w:p w14:paraId="24C01EBF" w14:textId="5374299C" w:rsidR="008F13A3" w:rsidRDefault="008F13A3" w:rsidP="00174FEB">
      <w:pPr>
        <w:jc w:val="both"/>
        <w:rPr>
          <w:rFonts w:ascii="Verdana" w:hAnsi="Verdana"/>
          <w:bCs/>
        </w:rPr>
      </w:pPr>
      <w:r w:rsidRPr="007956C6">
        <w:rPr>
          <w:rFonts w:ascii="Verdana" w:hAnsi="Verdana"/>
          <w:b/>
        </w:rPr>
        <w:t>S</w:t>
      </w:r>
      <w:r>
        <w:rPr>
          <w:rFonts w:ascii="Verdana" w:hAnsi="Verdana"/>
          <w:bCs/>
        </w:rPr>
        <w:t>pezifisch</w:t>
      </w:r>
      <w:r>
        <w:rPr>
          <w:rFonts w:ascii="Verdana" w:hAnsi="Verdana"/>
          <w:bCs/>
        </w:rPr>
        <w:br/>
      </w:r>
      <w:r w:rsidRPr="007956C6">
        <w:rPr>
          <w:rFonts w:ascii="Verdana" w:hAnsi="Verdana"/>
          <w:b/>
        </w:rPr>
        <w:t>M</w:t>
      </w:r>
      <w:r>
        <w:rPr>
          <w:rFonts w:ascii="Verdana" w:hAnsi="Verdana"/>
          <w:bCs/>
        </w:rPr>
        <w:t>essbar</w:t>
      </w:r>
      <w:r>
        <w:rPr>
          <w:rFonts w:ascii="Verdana" w:hAnsi="Verdana"/>
          <w:bCs/>
        </w:rPr>
        <w:br/>
      </w:r>
      <w:r w:rsidRPr="007956C6">
        <w:rPr>
          <w:rFonts w:ascii="Verdana" w:hAnsi="Verdana"/>
          <w:b/>
        </w:rPr>
        <w:t>A</w:t>
      </w:r>
      <w:r>
        <w:rPr>
          <w:rFonts w:ascii="Verdana" w:hAnsi="Verdana"/>
          <w:bCs/>
        </w:rPr>
        <w:t>ttraktiv</w:t>
      </w:r>
      <w:r>
        <w:rPr>
          <w:rFonts w:ascii="Verdana" w:hAnsi="Verdana"/>
          <w:bCs/>
        </w:rPr>
        <w:br/>
      </w:r>
      <w:r w:rsidRPr="007956C6">
        <w:rPr>
          <w:rFonts w:ascii="Verdana" w:hAnsi="Verdana"/>
          <w:b/>
        </w:rPr>
        <w:t>R</w:t>
      </w:r>
      <w:r>
        <w:rPr>
          <w:rFonts w:ascii="Verdana" w:hAnsi="Verdana"/>
          <w:bCs/>
        </w:rPr>
        <w:t>ealistisch</w:t>
      </w:r>
      <w:r>
        <w:rPr>
          <w:rFonts w:ascii="Verdana" w:hAnsi="Verdana"/>
          <w:bCs/>
        </w:rPr>
        <w:br/>
      </w:r>
      <w:r w:rsidRPr="007956C6">
        <w:rPr>
          <w:rFonts w:ascii="Verdana" w:hAnsi="Verdana"/>
          <w:b/>
        </w:rPr>
        <w:t>T</w:t>
      </w:r>
      <w:r>
        <w:rPr>
          <w:rFonts w:ascii="Verdana" w:hAnsi="Verdana"/>
          <w:bCs/>
        </w:rPr>
        <w:t>erminiert</w:t>
      </w:r>
    </w:p>
    <w:p w14:paraId="2A6D1EFD" w14:textId="77777777" w:rsidR="00174FEB" w:rsidRDefault="00174FEB" w:rsidP="00174FEB">
      <w:pPr>
        <w:jc w:val="both"/>
        <w:rPr>
          <w:rFonts w:ascii="Verdana" w:hAnsi="Verdana"/>
          <w:bCs/>
        </w:rPr>
      </w:pPr>
    </w:p>
    <w:p w14:paraId="678C5AF1" w14:textId="2B2C8796" w:rsidR="008F13A3" w:rsidRDefault="008F13A3" w:rsidP="00174FEB">
      <w:pPr>
        <w:jc w:val="both"/>
        <w:rPr>
          <w:rFonts w:ascii="Verdana" w:hAnsi="Verdana"/>
          <w:bCs/>
        </w:rPr>
      </w:pPr>
      <w:r>
        <w:rPr>
          <w:rFonts w:ascii="Verdana" w:hAnsi="Verdana"/>
          <w:bCs/>
        </w:rPr>
        <w:t>Die Reisenden kennen also die Rahmenbedingungen für ihre Reise</w:t>
      </w:r>
      <w:r w:rsidR="00DE04EA">
        <w:rPr>
          <w:rFonts w:ascii="Verdana" w:hAnsi="Verdana"/>
          <w:bCs/>
        </w:rPr>
        <w:t xml:space="preserve"> und können nun gut gerüstet </w:t>
      </w:r>
      <w:r w:rsidR="00D954C6">
        <w:rPr>
          <w:rFonts w:ascii="Verdana" w:hAnsi="Verdana"/>
          <w:bCs/>
        </w:rPr>
        <w:t xml:space="preserve">und selbstorganisiert </w:t>
      </w:r>
      <w:r w:rsidR="00DE04EA">
        <w:rPr>
          <w:rFonts w:ascii="Verdana" w:hAnsi="Verdana"/>
          <w:bCs/>
        </w:rPr>
        <w:t>starten</w:t>
      </w:r>
      <w:r>
        <w:rPr>
          <w:rFonts w:ascii="Verdana" w:hAnsi="Verdana"/>
          <w:bCs/>
        </w:rPr>
        <w:t>.</w:t>
      </w:r>
    </w:p>
    <w:p w14:paraId="1789B6C3" w14:textId="77777777" w:rsidR="00CC649D" w:rsidRDefault="00CC649D" w:rsidP="00174FEB">
      <w:pPr>
        <w:jc w:val="both"/>
        <w:rPr>
          <w:rFonts w:ascii="Verdana" w:hAnsi="Verdana"/>
          <w:bCs/>
        </w:rPr>
      </w:pPr>
      <w:r>
        <w:rPr>
          <w:rFonts w:ascii="Verdana" w:hAnsi="Verdana"/>
          <w:bCs/>
        </w:rPr>
        <w:br w:type="page"/>
      </w:r>
    </w:p>
    <w:p w14:paraId="5DB78657" w14:textId="291EA416" w:rsidR="004B7C48" w:rsidRPr="00CC649D" w:rsidRDefault="004B7C48" w:rsidP="009A5A83">
      <w:pPr>
        <w:spacing w:before="240" w:after="120"/>
        <w:jc w:val="both"/>
        <w:rPr>
          <w:rFonts w:ascii="Verdana" w:hAnsi="Verdana"/>
          <w:bCs/>
          <w:i/>
          <w:iCs/>
        </w:rPr>
      </w:pPr>
      <w:r w:rsidRPr="00CC649D">
        <w:rPr>
          <w:rFonts w:ascii="Verdana" w:hAnsi="Verdana"/>
          <w:bCs/>
          <w:i/>
          <w:iCs/>
        </w:rPr>
        <w:lastRenderedPageBreak/>
        <w:t>Etappen</w:t>
      </w:r>
    </w:p>
    <w:p w14:paraId="0F0B5DD3" w14:textId="4E8DA268" w:rsidR="004B7C48" w:rsidRDefault="004B7C48" w:rsidP="00174FEB">
      <w:pPr>
        <w:jc w:val="both"/>
        <w:rPr>
          <w:rFonts w:ascii="Verdana" w:hAnsi="Verdana"/>
          <w:bCs/>
        </w:rPr>
      </w:pPr>
      <w:r>
        <w:rPr>
          <w:rFonts w:ascii="Verdana" w:hAnsi="Verdana"/>
          <w:bCs/>
        </w:rPr>
        <w:t xml:space="preserve">Eine Lernreise kann aus mehreren Etappen bestehen. Gruppen können sich unterschiedlichen Themen widmen, die sie dann der Gruppe vorstellen. Genau wie bei einer Reise, bei der </w:t>
      </w:r>
      <w:r w:rsidR="008F13A3">
        <w:rPr>
          <w:rFonts w:ascii="Verdana" w:hAnsi="Verdana"/>
          <w:bCs/>
        </w:rPr>
        <w:t>einige eben zum Aussichtspunkt laufen, andere mit dem Leihfahrrad zum Hafen fahren.</w:t>
      </w:r>
      <w:r>
        <w:rPr>
          <w:rFonts w:ascii="Verdana" w:hAnsi="Verdana"/>
          <w:bCs/>
        </w:rPr>
        <w:t xml:space="preserve"> </w:t>
      </w:r>
      <w:r w:rsidR="008F13A3">
        <w:rPr>
          <w:rFonts w:ascii="Verdana" w:hAnsi="Verdana"/>
          <w:bCs/>
        </w:rPr>
        <w:t xml:space="preserve">Dies ist die Selbstlernzeit und </w:t>
      </w:r>
      <w:r w:rsidR="00DE04EA">
        <w:rPr>
          <w:rFonts w:ascii="Verdana" w:hAnsi="Verdana"/>
          <w:bCs/>
        </w:rPr>
        <w:t xml:space="preserve">- </w:t>
      </w:r>
      <w:r w:rsidR="008F13A3">
        <w:rPr>
          <w:rFonts w:ascii="Verdana" w:hAnsi="Verdana"/>
          <w:bCs/>
        </w:rPr>
        <w:t xml:space="preserve">um beim </w:t>
      </w:r>
      <w:r w:rsidR="00DE04EA">
        <w:rPr>
          <w:rFonts w:ascii="Verdana" w:hAnsi="Verdana"/>
          <w:bCs/>
        </w:rPr>
        <w:t>Bild „</w:t>
      </w:r>
      <w:r w:rsidR="008F13A3">
        <w:rPr>
          <w:rFonts w:ascii="Verdana" w:hAnsi="Verdana"/>
          <w:bCs/>
        </w:rPr>
        <w:t>Reisen</w:t>
      </w:r>
      <w:r w:rsidR="00DE04EA">
        <w:rPr>
          <w:rFonts w:ascii="Verdana" w:hAnsi="Verdana"/>
          <w:bCs/>
        </w:rPr>
        <w:t>“</w:t>
      </w:r>
      <w:r w:rsidR="008F13A3">
        <w:rPr>
          <w:rFonts w:ascii="Verdana" w:hAnsi="Verdana"/>
          <w:bCs/>
        </w:rPr>
        <w:t xml:space="preserve"> zu bleiben </w:t>
      </w:r>
      <w:r w:rsidR="00DE04EA">
        <w:rPr>
          <w:rFonts w:ascii="Verdana" w:hAnsi="Verdana"/>
          <w:bCs/>
        </w:rPr>
        <w:t xml:space="preserve">- </w:t>
      </w:r>
      <w:r w:rsidR="008F13A3">
        <w:rPr>
          <w:rFonts w:ascii="Verdana" w:hAnsi="Verdana"/>
          <w:bCs/>
        </w:rPr>
        <w:t>die Zeit, die individuell zur Verfügung steht, um das jeweilige Ziel selbst zu erkunden. Dabei kann man frei entscheiden, ob man dies allein bestreitet oder mit Anderen.</w:t>
      </w:r>
      <w:r>
        <w:rPr>
          <w:rFonts w:ascii="Verdana" w:hAnsi="Verdana"/>
          <w:bCs/>
        </w:rPr>
        <w:t xml:space="preserve"> </w:t>
      </w:r>
    </w:p>
    <w:p w14:paraId="2A9C4919" w14:textId="77777777" w:rsidR="00174FEB" w:rsidRDefault="00174FEB" w:rsidP="00174FEB">
      <w:pPr>
        <w:jc w:val="both"/>
        <w:rPr>
          <w:rFonts w:ascii="Verdana" w:hAnsi="Verdana"/>
          <w:bCs/>
        </w:rPr>
      </w:pPr>
    </w:p>
    <w:p w14:paraId="6F31A7BE" w14:textId="48AD0B57" w:rsidR="008F13A3" w:rsidRDefault="008F13A3" w:rsidP="00174FEB">
      <w:pPr>
        <w:jc w:val="both"/>
        <w:rPr>
          <w:rFonts w:ascii="Verdana" w:hAnsi="Verdana"/>
          <w:bCs/>
        </w:rPr>
      </w:pPr>
      <w:r>
        <w:rPr>
          <w:rFonts w:ascii="Verdana" w:hAnsi="Verdana"/>
          <w:bCs/>
        </w:rPr>
        <w:t>Jede Etappe endet mit einer Retrospektive – die Erkenntnisse werden für alle sichtbar, die Teilnehmenden zeigen im übertragenen Sinne also die Fotos zu ihrer Reise und geben Empfehlungen, was an der Route optimiert werden könnte.</w:t>
      </w:r>
    </w:p>
    <w:p w14:paraId="3198D87B" w14:textId="77777777" w:rsidR="00174FEB" w:rsidRDefault="00174FEB" w:rsidP="00174FEB">
      <w:pPr>
        <w:jc w:val="both"/>
        <w:rPr>
          <w:rFonts w:ascii="Verdana" w:hAnsi="Verdana"/>
          <w:bCs/>
        </w:rPr>
      </w:pPr>
    </w:p>
    <w:p w14:paraId="28220B1E" w14:textId="77777777" w:rsidR="00DE04EA" w:rsidRDefault="00DE04EA" w:rsidP="00174FEB">
      <w:pPr>
        <w:jc w:val="both"/>
        <w:rPr>
          <w:rFonts w:ascii="Verdana" w:hAnsi="Verdana"/>
          <w:bCs/>
        </w:rPr>
      </w:pPr>
      <w:r>
        <w:rPr>
          <w:rFonts w:ascii="Verdana" w:hAnsi="Verdana"/>
          <w:bCs/>
        </w:rPr>
        <w:t>Wir vergleichen dies gern mit dem abendlichen interaktiven Animationsprogramm, bei dem die Reisenden zusammenkommen, von ihren Erlebnissen berichten und in fröhlicher Stimmung teilen, was sie gelernt haben.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tblGrid>
      <w:tr w:rsidR="00DE04EA" w14:paraId="045E5531" w14:textId="77777777" w:rsidTr="00D954C6">
        <w:tc>
          <w:tcPr>
            <w:tcW w:w="4184" w:type="dxa"/>
          </w:tcPr>
          <w:p w14:paraId="5C8F668F" w14:textId="7FDBC153" w:rsidR="00DE04EA" w:rsidRDefault="007B7938" w:rsidP="009A5A83">
            <w:pPr>
              <w:spacing w:before="240" w:after="120"/>
              <w:jc w:val="both"/>
              <w:rPr>
                <w:rFonts w:ascii="Verdana" w:hAnsi="Verdana"/>
                <w:bCs/>
              </w:rPr>
            </w:pPr>
            <w:r>
              <w:rPr>
                <w:rFonts w:ascii="Verdana" w:hAnsi="Verdana"/>
                <w:bCs/>
                <w:noProof/>
              </w:rPr>
              <w:drawing>
                <wp:inline distT="0" distB="0" distL="0" distR="0" wp14:anchorId="2C949227" wp14:editId="09BD37A3">
                  <wp:extent cx="2663190" cy="3799205"/>
                  <wp:effectExtent l="0" t="0" r="381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3190" cy="3799205"/>
                          </a:xfrm>
                          <a:prstGeom prst="rect">
                            <a:avLst/>
                          </a:prstGeom>
                        </pic:spPr>
                      </pic:pic>
                    </a:graphicData>
                  </a:graphic>
                </wp:inline>
              </w:drawing>
            </w:r>
          </w:p>
        </w:tc>
      </w:tr>
      <w:tr w:rsidR="00DE04EA" w14:paraId="6ABEBB59" w14:textId="77777777" w:rsidTr="00D954C6">
        <w:tc>
          <w:tcPr>
            <w:tcW w:w="4184" w:type="dxa"/>
          </w:tcPr>
          <w:p w14:paraId="31F6F917" w14:textId="053BB462" w:rsidR="00DE04EA" w:rsidRDefault="00DE04EA" w:rsidP="00DE04EA">
            <w:pPr>
              <w:tabs>
                <w:tab w:val="left" w:pos="1276"/>
                <w:tab w:val="left" w:pos="2694"/>
              </w:tabs>
              <w:jc w:val="both"/>
              <w:rPr>
                <w:rFonts w:ascii="Verdana" w:hAnsi="Verdana"/>
                <w:bCs/>
              </w:rPr>
            </w:pPr>
            <w:r w:rsidRPr="00DE04EA">
              <w:rPr>
                <w:rFonts w:ascii="Verdana" w:hAnsi="Verdana"/>
                <w:i/>
                <w:sz w:val="18"/>
                <w:szCs w:val="18"/>
              </w:rPr>
              <w:t>Abb. 2:</w:t>
            </w:r>
            <w:r>
              <w:rPr>
                <w:rFonts w:ascii="Verdana" w:hAnsi="Verdana"/>
                <w:i/>
                <w:sz w:val="18"/>
                <w:szCs w:val="18"/>
              </w:rPr>
              <w:t xml:space="preserve"> Retrospektiven [1]</w:t>
            </w:r>
          </w:p>
        </w:tc>
      </w:tr>
    </w:tbl>
    <w:p w14:paraId="593ED61A" w14:textId="77777777" w:rsidR="007B7938" w:rsidRDefault="007B7938" w:rsidP="009A5A83">
      <w:pPr>
        <w:spacing w:before="240" w:after="120"/>
        <w:jc w:val="both"/>
        <w:rPr>
          <w:rFonts w:ascii="Verdana" w:hAnsi="Verdana"/>
          <w:bCs/>
          <w:i/>
          <w:iCs/>
        </w:rPr>
      </w:pPr>
    </w:p>
    <w:p w14:paraId="58EDE32D" w14:textId="5AA892A3" w:rsidR="00DE04EA" w:rsidRPr="00CC649D" w:rsidRDefault="00DE04EA" w:rsidP="009A5A83">
      <w:pPr>
        <w:spacing w:before="240" w:after="120"/>
        <w:jc w:val="both"/>
        <w:rPr>
          <w:rFonts w:ascii="Verdana" w:hAnsi="Verdana"/>
          <w:bCs/>
          <w:i/>
          <w:iCs/>
        </w:rPr>
      </w:pPr>
      <w:r w:rsidRPr="00CC649D">
        <w:rPr>
          <w:rFonts w:ascii="Verdana" w:hAnsi="Verdana"/>
          <w:bCs/>
          <w:i/>
          <w:iCs/>
        </w:rPr>
        <w:t>Abschluss</w:t>
      </w:r>
    </w:p>
    <w:p w14:paraId="567CF998" w14:textId="5DC82FF3" w:rsidR="00DE04EA" w:rsidRDefault="00DE04EA" w:rsidP="00174FEB">
      <w:pPr>
        <w:jc w:val="both"/>
        <w:rPr>
          <w:rFonts w:ascii="Verdana" w:hAnsi="Verdana"/>
          <w:bCs/>
        </w:rPr>
      </w:pPr>
      <w:r>
        <w:rPr>
          <w:rFonts w:ascii="Verdana" w:hAnsi="Verdana"/>
          <w:bCs/>
        </w:rPr>
        <w:t>Hat man die Etappen erfolgreich absolviert, ist das Ende der Reise in Sicht. Nach der vorab vorgegebenen Zeit kommen alle zu einem Abschlussfest zusammen. Etwas geschafft zu haben und dafür Wertschätzung zu erfahren, ist dabei der Kern.</w:t>
      </w:r>
    </w:p>
    <w:p w14:paraId="674D23DA" w14:textId="77777777" w:rsidR="00174FEB" w:rsidRDefault="00174FEB" w:rsidP="00174FEB">
      <w:pPr>
        <w:jc w:val="both"/>
        <w:rPr>
          <w:rFonts w:ascii="Verdana" w:hAnsi="Verdana"/>
          <w:bCs/>
        </w:rPr>
      </w:pPr>
    </w:p>
    <w:p w14:paraId="63E469C6" w14:textId="7D6D5B1B" w:rsidR="00DE04EA" w:rsidRDefault="00DE04EA" w:rsidP="00174FEB">
      <w:pPr>
        <w:jc w:val="both"/>
        <w:rPr>
          <w:rFonts w:ascii="Verdana" w:hAnsi="Verdana"/>
          <w:bCs/>
        </w:rPr>
      </w:pPr>
      <w:r>
        <w:rPr>
          <w:rFonts w:ascii="Verdana" w:hAnsi="Verdana"/>
          <w:bCs/>
        </w:rPr>
        <w:t xml:space="preserve">Die Reise selbst ist also eher individuell, aber die (Zwischen-)Ziele sind klar definiert. Es wird ein Umfeld für Kollaboration geschaffen, aber kein Zwang für Gruppenarbeiten aufgebaut. Wichtig ist, dass </w:t>
      </w:r>
      <w:r>
        <w:rPr>
          <w:rFonts w:ascii="Verdana" w:hAnsi="Verdana"/>
          <w:bCs/>
        </w:rPr>
        <w:t xml:space="preserve">man immer wieder regelmäßige Treffen mit allen Teilnehmenden vereinbart, um ggf. zu unterstützen, </w:t>
      </w:r>
      <w:r w:rsidR="00D954C6">
        <w:rPr>
          <w:rFonts w:ascii="Verdana" w:hAnsi="Verdana"/>
          <w:bCs/>
        </w:rPr>
        <w:t>denn selbstorganisiertes Lernen hat auch Tücken.</w:t>
      </w:r>
    </w:p>
    <w:p w14:paraId="3840F1BE" w14:textId="7141A2DF" w:rsidR="00DE04EA" w:rsidRPr="00CC649D" w:rsidRDefault="00DE04EA" w:rsidP="009A5A83">
      <w:pPr>
        <w:spacing w:before="240" w:after="120"/>
        <w:jc w:val="both"/>
        <w:rPr>
          <w:rFonts w:ascii="Verdana" w:hAnsi="Verdana"/>
          <w:bCs/>
          <w:i/>
          <w:iCs/>
        </w:rPr>
      </w:pPr>
      <w:r w:rsidRPr="00CC649D">
        <w:rPr>
          <w:rFonts w:ascii="Verdana" w:hAnsi="Verdana"/>
          <w:bCs/>
          <w:i/>
          <w:iCs/>
        </w:rPr>
        <w:t xml:space="preserve">Mögliche Hindernisse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tblGrid>
      <w:tr w:rsidR="00DE04EA" w14:paraId="57F39430" w14:textId="77777777" w:rsidTr="00D954C6">
        <w:tc>
          <w:tcPr>
            <w:tcW w:w="4184" w:type="dxa"/>
          </w:tcPr>
          <w:p w14:paraId="59BA3797" w14:textId="3158C9BD" w:rsidR="00DE04EA" w:rsidRDefault="00DE04EA" w:rsidP="009A5A83">
            <w:pPr>
              <w:spacing w:before="240" w:after="120"/>
              <w:jc w:val="both"/>
              <w:rPr>
                <w:rFonts w:ascii="Verdana" w:hAnsi="Verdana"/>
                <w:bCs/>
              </w:rPr>
            </w:pPr>
            <w:r>
              <w:rPr>
                <w:noProof/>
                <w:color w:val="000000"/>
                <w:bdr w:val="none" w:sz="0" w:space="0" w:color="auto" w:frame="1"/>
              </w:rPr>
              <w:drawing>
                <wp:inline distT="0" distB="0" distL="0" distR="0" wp14:anchorId="7F36DB91" wp14:editId="52E8357C">
                  <wp:extent cx="2663190" cy="1868805"/>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3190" cy="1868805"/>
                          </a:xfrm>
                          <a:prstGeom prst="rect">
                            <a:avLst/>
                          </a:prstGeom>
                          <a:noFill/>
                          <a:ln>
                            <a:noFill/>
                          </a:ln>
                        </pic:spPr>
                      </pic:pic>
                    </a:graphicData>
                  </a:graphic>
                </wp:inline>
              </w:drawing>
            </w:r>
          </w:p>
        </w:tc>
      </w:tr>
      <w:tr w:rsidR="00DE04EA" w14:paraId="3DA0B922" w14:textId="77777777" w:rsidTr="00D954C6">
        <w:tc>
          <w:tcPr>
            <w:tcW w:w="4184" w:type="dxa"/>
          </w:tcPr>
          <w:p w14:paraId="3688EAB4" w14:textId="620B9435" w:rsidR="00DE04EA" w:rsidRDefault="00DE04EA" w:rsidP="00DE04EA">
            <w:pPr>
              <w:tabs>
                <w:tab w:val="left" w:pos="1276"/>
                <w:tab w:val="left" w:pos="2694"/>
              </w:tabs>
              <w:jc w:val="both"/>
              <w:rPr>
                <w:rFonts w:ascii="Verdana" w:hAnsi="Verdana"/>
                <w:bCs/>
              </w:rPr>
            </w:pPr>
            <w:r w:rsidRPr="00DE04EA">
              <w:rPr>
                <w:rFonts w:ascii="Verdana" w:hAnsi="Verdana"/>
                <w:i/>
                <w:sz w:val="18"/>
                <w:szCs w:val="18"/>
              </w:rPr>
              <w:t>Abb. 3: Lernhindernisse</w:t>
            </w:r>
            <w:r>
              <w:rPr>
                <w:rFonts w:ascii="Verdana" w:hAnsi="Verdana"/>
                <w:i/>
                <w:sz w:val="18"/>
                <w:szCs w:val="18"/>
              </w:rPr>
              <w:t xml:space="preserve"> [1]</w:t>
            </w:r>
          </w:p>
        </w:tc>
      </w:tr>
    </w:tbl>
    <w:p w14:paraId="05B496D4" w14:textId="77777777" w:rsidR="00174FEB" w:rsidRDefault="00174FEB" w:rsidP="00174FEB">
      <w:pPr>
        <w:jc w:val="both"/>
        <w:rPr>
          <w:rFonts w:ascii="Verdana" w:hAnsi="Verdana"/>
          <w:bCs/>
        </w:rPr>
      </w:pPr>
    </w:p>
    <w:p w14:paraId="22E55D00" w14:textId="0A0004BC" w:rsidR="00DE04EA" w:rsidRDefault="00D954C6" w:rsidP="00174FEB">
      <w:pPr>
        <w:jc w:val="both"/>
        <w:rPr>
          <w:rFonts w:ascii="Verdana" w:hAnsi="Verdana"/>
          <w:bCs/>
        </w:rPr>
      </w:pPr>
      <w:r>
        <w:rPr>
          <w:rFonts w:ascii="Verdana" w:hAnsi="Verdana"/>
          <w:bCs/>
        </w:rPr>
        <w:t xml:space="preserve">Selbstorganisiertes Lernen ist nicht unfehlbar. Wir kennen alle das Aufschieben von eher unliebsamen Aufgaben, die Informationsflut, die einen zu erdrücken droht oder die vielen Ablenkungen, die im Alltag auf uns lauern. </w:t>
      </w:r>
    </w:p>
    <w:p w14:paraId="3DC25858" w14:textId="77777777" w:rsidR="00174FEB" w:rsidRDefault="00174FEB" w:rsidP="00174FEB">
      <w:pPr>
        <w:jc w:val="both"/>
        <w:rPr>
          <w:rFonts w:ascii="Verdana" w:hAnsi="Verdana"/>
          <w:bCs/>
        </w:rPr>
      </w:pPr>
    </w:p>
    <w:p w14:paraId="366453E0" w14:textId="36BDBC8C" w:rsidR="00D954C6" w:rsidRDefault="00D954C6" w:rsidP="00174FEB">
      <w:pPr>
        <w:jc w:val="both"/>
        <w:rPr>
          <w:rFonts w:ascii="Verdana" w:hAnsi="Verdana"/>
          <w:bCs/>
        </w:rPr>
      </w:pPr>
      <w:r>
        <w:rPr>
          <w:rFonts w:ascii="Verdana" w:hAnsi="Verdana"/>
          <w:bCs/>
        </w:rPr>
        <w:t>Deshalb ist eine Lernreise immer so aufgebaut, dass sich alle Teilnehmenden regelmäßig synchron treffen und austauschen. So erkennt man, wer noch auf dem richtigen Weg ist, wer ggf. Unterstützung benötigt oder einen kleinen Motivationsschub. Diese regelmäßigen Treffen sind direkt im Kalender zu verankern.</w:t>
      </w:r>
    </w:p>
    <w:p w14:paraId="27F729C4" w14:textId="77777777" w:rsidR="00174FEB" w:rsidRDefault="00174FEB" w:rsidP="00174FEB">
      <w:pPr>
        <w:jc w:val="both"/>
        <w:rPr>
          <w:rFonts w:ascii="Verdana" w:hAnsi="Verdana"/>
          <w:bCs/>
        </w:rPr>
      </w:pPr>
    </w:p>
    <w:p w14:paraId="71A0246D" w14:textId="3E284E66" w:rsidR="00D954C6" w:rsidRPr="00DE04EA" w:rsidRDefault="00F27E23" w:rsidP="00174FEB">
      <w:pPr>
        <w:jc w:val="both"/>
        <w:rPr>
          <w:rFonts w:ascii="Verdana" w:hAnsi="Verdana"/>
          <w:bCs/>
        </w:rPr>
      </w:pPr>
      <w:r>
        <w:rPr>
          <w:rFonts w:ascii="Verdana" w:hAnsi="Verdana"/>
          <w:bCs/>
        </w:rPr>
        <w:t xml:space="preserve">Ein Tipp für die Selbstlernphase ist, sich auch hierfür Fokuszeit im Kalender </w:t>
      </w:r>
      <w:r w:rsidR="002F7E9E">
        <w:rPr>
          <w:rFonts w:ascii="Verdana" w:hAnsi="Verdana"/>
          <w:bCs/>
        </w:rPr>
        <w:t>freizu</w:t>
      </w:r>
      <w:r w:rsidR="00174FEB">
        <w:rPr>
          <w:rFonts w:ascii="Verdana" w:hAnsi="Verdana"/>
          <w:bCs/>
        </w:rPr>
        <w:t>-h</w:t>
      </w:r>
      <w:r w:rsidR="002F7E9E">
        <w:rPr>
          <w:rFonts w:ascii="Verdana" w:hAnsi="Verdana"/>
          <w:bCs/>
        </w:rPr>
        <w:t>alten</w:t>
      </w:r>
      <w:r>
        <w:rPr>
          <w:rFonts w:ascii="Verdana" w:hAnsi="Verdana"/>
          <w:bCs/>
        </w:rPr>
        <w:t xml:space="preserve">, damit Ablenkungen möglichst auf ein Minimum reduziert werden können und man sich bewusst auf seine Lernreise begeben kann. </w:t>
      </w:r>
    </w:p>
    <w:p w14:paraId="78121F2D" w14:textId="430F2D12" w:rsidR="00C3581E" w:rsidRPr="00E50259" w:rsidRDefault="002F073C" w:rsidP="009A5A83">
      <w:pPr>
        <w:spacing w:before="240" w:after="120"/>
        <w:jc w:val="both"/>
        <w:rPr>
          <w:rFonts w:ascii="Verdana" w:hAnsi="Verdana"/>
          <w:b/>
        </w:rPr>
      </w:pPr>
      <w:r>
        <w:rPr>
          <w:rFonts w:ascii="Verdana" w:hAnsi="Verdana"/>
          <w:b/>
        </w:rPr>
        <w:t>Digitale Whiteboards</w:t>
      </w:r>
      <w:r w:rsidR="004B7C48">
        <w:rPr>
          <w:rFonts w:ascii="Verdana" w:hAnsi="Verdana"/>
          <w:b/>
        </w:rPr>
        <w:t xml:space="preserve"> als Rahmen</w:t>
      </w:r>
    </w:p>
    <w:p w14:paraId="6A42F64F" w14:textId="6E19BEB4" w:rsidR="00C3581E" w:rsidRDefault="00F27E23" w:rsidP="00174FEB">
      <w:pPr>
        <w:jc w:val="both"/>
        <w:rPr>
          <w:rFonts w:ascii="Verdana" w:hAnsi="Verdana"/>
          <w:bCs/>
        </w:rPr>
      </w:pPr>
      <w:r w:rsidRPr="00F27E23">
        <w:rPr>
          <w:rFonts w:ascii="Verdana" w:hAnsi="Verdana"/>
          <w:bCs/>
        </w:rPr>
        <w:t>Wie können nun digitale Whiteboards bei einer solchen Lernreise unterstützen?</w:t>
      </w:r>
    </w:p>
    <w:p w14:paraId="6CB600F0" w14:textId="77777777" w:rsidR="00174FEB" w:rsidRPr="00F27E23" w:rsidRDefault="00174FEB" w:rsidP="00174FEB">
      <w:pPr>
        <w:jc w:val="both"/>
        <w:rPr>
          <w:rFonts w:ascii="Verdana" w:hAnsi="Verdana"/>
          <w:bCs/>
        </w:rPr>
      </w:pPr>
    </w:p>
    <w:p w14:paraId="173A9F96" w14:textId="279E8C4F" w:rsidR="00F27E23" w:rsidRDefault="00F27E23" w:rsidP="00174FEB">
      <w:pPr>
        <w:jc w:val="both"/>
        <w:rPr>
          <w:rFonts w:ascii="Verdana" w:hAnsi="Verdana"/>
        </w:rPr>
      </w:pPr>
      <w:r w:rsidRPr="2186CF47">
        <w:rPr>
          <w:rFonts w:ascii="Verdana" w:hAnsi="Verdana"/>
        </w:rPr>
        <w:t xml:space="preserve">Sie dienen nicht nur der kreativen Visualisierung der (Teil-)Ziele, sie bieten auch eine Basis für von Lernbegleiter:innen zur Verfügung gestelltes Informationsmaterial, das </w:t>
      </w:r>
      <w:r w:rsidR="1D6F7388" w:rsidRPr="2186CF47">
        <w:rPr>
          <w:rFonts w:ascii="Verdana" w:hAnsi="Verdana"/>
        </w:rPr>
        <w:t xml:space="preserve">jederzeit </w:t>
      </w:r>
      <w:r w:rsidRPr="2186CF47">
        <w:rPr>
          <w:rFonts w:ascii="Verdana" w:hAnsi="Verdana"/>
        </w:rPr>
        <w:t xml:space="preserve">flexibel abrufbar und übersichtlich angeordnet auf dem Board zu finden ist. Zudem sind Whiteboards </w:t>
      </w:r>
      <w:r w:rsidRPr="2186CF47">
        <w:rPr>
          <w:rFonts w:ascii="Verdana" w:hAnsi="Verdana"/>
        </w:rPr>
        <w:lastRenderedPageBreak/>
        <w:t>eine gute Möglichkeit, Ergebnisse zu dokumentieren, Ideen zu sammeln und zu bewerten, kreativ zu werden und kollaborativ miteinander in den Austausch zu kommen. Der große Vorteil digitaler Whiteboards sind die zahlreichen Funktionalitäten vom Beschriften von sticky notes über Einbinden von Bildern und Icons bis hin zu Verlinkungen zu Website</w:t>
      </w:r>
      <w:r w:rsidR="53E0425D" w:rsidRPr="2186CF47">
        <w:rPr>
          <w:rFonts w:ascii="Verdana" w:hAnsi="Verdana"/>
        </w:rPr>
        <w:t>s</w:t>
      </w:r>
      <w:r w:rsidRPr="2186CF47">
        <w:rPr>
          <w:rFonts w:ascii="Verdana" w:hAnsi="Verdana"/>
        </w:rPr>
        <w:t xml:space="preserve"> oder zu anderen Whiteboards oder bestimmten Flächen im Whiteboard. Passend zu</w:t>
      </w:r>
      <w:r w:rsidR="005E0C94" w:rsidRPr="2186CF47">
        <w:rPr>
          <w:rFonts w:ascii="Verdana" w:hAnsi="Verdana"/>
        </w:rPr>
        <w:t>m</w:t>
      </w:r>
      <w:r w:rsidRPr="2186CF47">
        <w:rPr>
          <w:rFonts w:ascii="Verdana" w:hAnsi="Verdana"/>
        </w:rPr>
        <w:t xml:space="preserve"> Ziel kann ein Whiteboard aufgebaut und gestaltet werden, welches die Kreativität anregt und </w:t>
      </w:r>
      <w:r w:rsidR="005C63C4" w:rsidRPr="2186CF47">
        <w:rPr>
          <w:rFonts w:ascii="Verdana" w:hAnsi="Verdana"/>
        </w:rPr>
        <w:t>mit Farben, Formen und Struktur einen Rahmen um die Lernreise festlegt.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tblGrid>
      <w:tr w:rsidR="005C63C4" w14:paraId="6330E6C4" w14:textId="77777777" w:rsidTr="005C63C4">
        <w:tc>
          <w:tcPr>
            <w:tcW w:w="4184" w:type="dxa"/>
          </w:tcPr>
          <w:p w14:paraId="7D23D860" w14:textId="1D2BC3CB" w:rsidR="005C63C4" w:rsidRDefault="005C63C4" w:rsidP="00F27E23">
            <w:pPr>
              <w:spacing w:before="240" w:after="120"/>
              <w:jc w:val="both"/>
              <w:rPr>
                <w:rFonts w:ascii="Verdana" w:hAnsi="Verdana"/>
                <w:bCs/>
              </w:rPr>
            </w:pPr>
            <w:r>
              <w:rPr>
                <w:rFonts w:ascii="Verdana" w:hAnsi="Verdana"/>
                <w:bCs/>
                <w:noProof/>
              </w:rPr>
              <w:drawing>
                <wp:inline distT="0" distB="0" distL="0" distR="0" wp14:anchorId="3303134C" wp14:editId="3E36AD67">
                  <wp:extent cx="2663190" cy="1076960"/>
                  <wp:effectExtent l="0" t="0" r="381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3190" cy="1076960"/>
                          </a:xfrm>
                          <a:prstGeom prst="rect">
                            <a:avLst/>
                          </a:prstGeom>
                        </pic:spPr>
                      </pic:pic>
                    </a:graphicData>
                  </a:graphic>
                </wp:inline>
              </w:drawing>
            </w:r>
          </w:p>
        </w:tc>
      </w:tr>
      <w:tr w:rsidR="005C63C4" w14:paraId="53C5BA64" w14:textId="77777777" w:rsidTr="005C63C4">
        <w:tc>
          <w:tcPr>
            <w:tcW w:w="4184" w:type="dxa"/>
          </w:tcPr>
          <w:p w14:paraId="6611CBD6" w14:textId="64C870F0" w:rsidR="005C63C4" w:rsidRDefault="005C63C4" w:rsidP="005E0C94">
            <w:pPr>
              <w:spacing w:before="240" w:after="120"/>
              <w:jc w:val="both"/>
              <w:rPr>
                <w:rFonts w:ascii="Verdana" w:hAnsi="Verdana"/>
                <w:bCs/>
              </w:rPr>
            </w:pPr>
            <w:r w:rsidRPr="00122C9B">
              <w:rPr>
                <w:rFonts w:ascii="Verdana" w:hAnsi="Verdana"/>
                <w:i/>
                <w:sz w:val="18"/>
                <w:szCs w:val="18"/>
              </w:rPr>
              <w:t>Abb. 4: Beispiel M</w:t>
            </w:r>
            <w:r w:rsidR="00180EF3">
              <w:rPr>
                <w:rFonts w:ascii="Verdana" w:hAnsi="Verdana"/>
                <w:i/>
                <w:sz w:val="18"/>
                <w:szCs w:val="18"/>
              </w:rPr>
              <w:t>IRO</w:t>
            </w:r>
            <w:r w:rsidRPr="00122C9B">
              <w:rPr>
                <w:rFonts w:ascii="Verdana" w:hAnsi="Verdana"/>
                <w:i/>
                <w:sz w:val="18"/>
                <w:szCs w:val="18"/>
              </w:rPr>
              <w:t>-Board für ein Kreativ-Barcamp</w:t>
            </w:r>
          </w:p>
        </w:tc>
      </w:tr>
    </w:tbl>
    <w:p w14:paraId="34DBA56F" w14:textId="3A84988A" w:rsidR="005C63C4" w:rsidRDefault="005C63C4" w:rsidP="00174FEB">
      <w:pPr>
        <w:jc w:val="both"/>
        <w:rPr>
          <w:rFonts w:ascii="Verdana" w:hAnsi="Verdana"/>
          <w:bCs/>
        </w:rPr>
      </w:pPr>
      <w:r>
        <w:rPr>
          <w:rFonts w:ascii="Verdana" w:hAnsi="Verdana"/>
          <w:bCs/>
        </w:rPr>
        <w:t>Für digitale Whiteboards von zum Beispiel MURAL oder MIRO gibt es kostenfreie Education</w:t>
      </w:r>
      <w:r w:rsidR="00174FEB">
        <w:rPr>
          <w:rFonts w:ascii="Verdana" w:hAnsi="Verdana"/>
          <w:bCs/>
        </w:rPr>
        <w:t>-L</w:t>
      </w:r>
      <w:r>
        <w:rPr>
          <w:rFonts w:ascii="Verdana" w:hAnsi="Verdana"/>
          <w:bCs/>
        </w:rPr>
        <w:t>izenzen für Lehrende:</w:t>
      </w:r>
    </w:p>
    <w:p w14:paraId="176D2E25" w14:textId="76915A1A" w:rsidR="005E0C94" w:rsidRPr="005E0C94" w:rsidRDefault="007B7938" w:rsidP="00F27E23">
      <w:pPr>
        <w:spacing w:before="240" w:after="120"/>
        <w:jc w:val="both"/>
        <w:rPr>
          <w:rFonts w:ascii="Verdana" w:hAnsi="Verdana"/>
          <w:bCs/>
        </w:rPr>
      </w:pPr>
      <w:hyperlink r:id="rId13" w:history="1">
        <w:r w:rsidR="005C63C4" w:rsidRPr="005E0C94">
          <w:rPr>
            <w:rFonts w:ascii="Verdana" w:hAnsi="Verdana"/>
          </w:rPr>
          <w:t>https://miro.com/education-whiteboard/</w:t>
        </w:r>
      </w:hyperlink>
    </w:p>
    <w:p w14:paraId="1066EE45" w14:textId="33E046A3" w:rsidR="005C63C4" w:rsidRPr="005E0C94" w:rsidRDefault="007B7938" w:rsidP="00F27E23">
      <w:pPr>
        <w:spacing w:before="240" w:after="120"/>
        <w:jc w:val="both"/>
        <w:rPr>
          <w:rFonts w:ascii="Verdana" w:hAnsi="Verdana"/>
          <w:bCs/>
        </w:rPr>
      </w:pPr>
      <w:hyperlink r:id="rId14" w:history="1">
        <w:r w:rsidR="005C63C4" w:rsidRPr="005E0C94">
          <w:rPr>
            <w:rFonts w:ascii="Verdana" w:hAnsi="Verdana"/>
          </w:rPr>
          <w:t>https://www.mural.co/education</w:t>
        </w:r>
      </w:hyperlink>
    </w:p>
    <w:p w14:paraId="3BA92DE2" w14:textId="421A375B" w:rsidR="005C63C4" w:rsidRDefault="005C63C4" w:rsidP="00174FEB">
      <w:pPr>
        <w:jc w:val="both"/>
        <w:rPr>
          <w:rFonts w:ascii="Verdana" w:hAnsi="Verdana"/>
          <w:bCs/>
        </w:rPr>
      </w:pPr>
      <w:r>
        <w:rPr>
          <w:rFonts w:ascii="Verdana" w:hAnsi="Verdana"/>
          <w:bCs/>
        </w:rPr>
        <w:t xml:space="preserve">Digitale Whiteboards sind sich in der Handhabung sehr ähnlich, es gibt aber auch Unterschiede, die allerdings meist erst von </w:t>
      </w:r>
      <w:r w:rsidR="005E0C94">
        <w:rPr>
          <w:rFonts w:ascii="Verdana" w:hAnsi="Verdana"/>
          <w:bCs/>
        </w:rPr>
        <w:t>B</w:t>
      </w:r>
      <w:r>
        <w:rPr>
          <w:rFonts w:ascii="Verdana" w:hAnsi="Verdana"/>
          <w:bCs/>
        </w:rPr>
        <w:t>elang sind, wenn man umfangreichere Vorhaben mit einem digitalen Whiteboard unterstützen möchte.</w:t>
      </w:r>
    </w:p>
    <w:p w14:paraId="43B665F5" w14:textId="70FD6B62" w:rsidR="00F27E23" w:rsidRPr="005E0C94" w:rsidRDefault="005C63C4" w:rsidP="00174FEB">
      <w:pPr>
        <w:jc w:val="both"/>
        <w:rPr>
          <w:rFonts w:ascii="Verdana" w:hAnsi="Verdana"/>
          <w:bCs/>
        </w:rPr>
      </w:pPr>
      <w:r w:rsidRPr="005E0C94">
        <w:rPr>
          <w:rFonts w:ascii="Verdana" w:hAnsi="Verdana"/>
          <w:bCs/>
        </w:rPr>
        <w:t xml:space="preserve">Ob man nun MURAL, MIRO, CONCEPTBOARD oder doch lieber digitale Pinnwände </w:t>
      </w:r>
      <w:r w:rsidR="00BD4302">
        <w:rPr>
          <w:rFonts w:ascii="Verdana" w:hAnsi="Verdana"/>
          <w:bCs/>
        </w:rPr>
        <w:t>wie beispielsweise</w:t>
      </w:r>
      <w:r w:rsidRPr="005E0C94">
        <w:rPr>
          <w:rFonts w:ascii="Verdana" w:hAnsi="Verdana"/>
          <w:bCs/>
        </w:rPr>
        <w:t xml:space="preserve"> </w:t>
      </w:r>
      <w:r w:rsidR="008A002F">
        <w:rPr>
          <w:rFonts w:ascii="Verdana" w:hAnsi="Verdana"/>
          <w:bCs/>
        </w:rPr>
        <w:t>PADLET</w:t>
      </w:r>
      <w:r w:rsidRPr="005E0C94">
        <w:rPr>
          <w:rFonts w:ascii="Verdana" w:hAnsi="Verdana"/>
          <w:bCs/>
        </w:rPr>
        <w:t xml:space="preserve"> oder </w:t>
      </w:r>
      <w:r w:rsidR="008A002F">
        <w:rPr>
          <w:rFonts w:ascii="Verdana" w:hAnsi="Verdana"/>
          <w:bCs/>
        </w:rPr>
        <w:t>TASKCARDS</w:t>
      </w:r>
      <w:r w:rsidRPr="005E0C94">
        <w:rPr>
          <w:rFonts w:ascii="Verdana" w:hAnsi="Verdana"/>
          <w:bCs/>
        </w:rPr>
        <w:t xml:space="preserve"> verwendet, ist schwer zu entscheiden, wenn man sich die Tools nicht </w:t>
      </w:r>
      <w:r w:rsidR="005E0C94">
        <w:rPr>
          <w:rFonts w:ascii="Verdana" w:hAnsi="Verdana"/>
          <w:bCs/>
        </w:rPr>
        <w:t>vorher</w:t>
      </w:r>
      <w:r w:rsidRPr="005E0C94">
        <w:rPr>
          <w:rFonts w:ascii="Verdana" w:hAnsi="Verdana"/>
          <w:bCs/>
        </w:rPr>
        <w:t xml:space="preserve"> anschaut</w:t>
      </w:r>
      <w:r w:rsidR="005E0C94" w:rsidRPr="005E0C94">
        <w:rPr>
          <w:rFonts w:ascii="Verdana" w:hAnsi="Verdana"/>
          <w:bCs/>
        </w:rPr>
        <w:t xml:space="preserve"> und nicht genau weiß, was damit möglich ist</w:t>
      </w:r>
      <w:r w:rsidRPr="005E0C94">
        <w:rPr>
          <w:rFonts w:ascii="Verdana" w:hAnsi="Verdana"/>
          <w:bCs/>
        </w:rPr>
        <w:t xml:space="preserve">. </w:t>
      </w:r>
    </w:p>
    <w:p w14:paraId="322021EB" w14:textId="7C689C86" w:rsidR="005E0C94" w:rsidRPr="00174FEB" w:rsidRDefault="005E0C94" w:rsidP="005E0C94">
      <w:pPr>
        <w:spacing w:before="240" w:after="120"/>
        <w:jc w:val="both"/>
        <w:rPr>
          <w:rFonts w:ascii="Verdana" w:hAnsi="Verdana"/>
          <w:bCs/>
          <w:i/>
          <w:iCs/>
        </w:rPr>
      </w:pPr>
      <w:r w:rsidRPr="00174FEB">
        <w:rPr>
          <w:rFonts w:ascii="Verdana" w:hAnsi="Verdana"/>
          <w:bCs/>
          <w:i/>
          <w:iCs/>
        </w:rPr>
        <w:t>Als Empfehlung:</w:t>
      </w:r>
    </w:p>
    <w:p w14:paraId="453EB667" w14:textId="6A1B3DD6" w:rsidR="005C63C4" w:rsidRPr="005E0C94" w:rsidRDefault="005C63C4" w:rsidP="00174FEB">
      <w:pPr>
        <w:jc w:val="both"/>
        <w:rPr>
          <w:rFonts w:ascii="Verdana" w:hAnsi="Verdana"/>
          <w:bCs/>
        </w:rPr>
      </w:pPr>
      <w:r w:rsidRPr="005E0C94">
        <w:rPr>
          <w:rFonts w:ascii="Verdana" w:hAnsi="Verdana"/>
          <w:bCs/>
        </w:rPr>
        <w:t xml:space="preserve">Pinnwände bieten sich an, wenn man keinen komplexen Aufbau benötigt, sondern eher Ideen sammelt. Whiteboards können sehr viel mehr, sind dadurch aber auch </w:t>
      </w:r>
      <w:r w:rsidR="005E0C94" w:rsidRPr="005E0C94">
        <w:rPr>
          <w:rFonts w:ascii="Verdana" w:hAnsi="Verdana"/>
          <w:bCs/>
        </w:rPr>
        <w:t xml:space="preserve">komplexer in der Anwendung und erfordern definitiv eine Einführung vor der Nutzung, damit es kein Chaos gibt und einige Teilnehmende schon zu Beginn Nerven und Lust verlieren. </w:t>
      </w:r>
    </w:p>
    <w:p w14:paraId="2DDDDFD0" w14:textId="2C5B976C" w:rsidR="005E0C94" w:rsidRPr="00174FEB" w:rsidRDefault="005E0C94" w:rsidP="2186CF47">
      <w:pPr>
        <w:spacing w:before="240" w:after="120"/>
        <w:jc w:val="both"/>
        <w:rPr>
          <w:rFonts w:ascii="Verdana" w:hAnsi="Verdana"/>
          <w:i/>
          <w:iCs/>
        </w:rPr>
      </w:pPr>
      <w:r w:rsidRPr="00174FEB">
        <w:rPr>
          <w:rFonts w:ascii="Verdana" w:hAnsi="Verdana"/>
          <w:i/>
          <w:iCs/>
        </w:rPr>
        <w:t>Tipp</w:t>
      </w:r>
      <w:r w:rsidR="4A50BEBB" w:rsidRPr="00174FEB">
        <w:rPr>
          <w:rFonts w:ascii="Verdana" w:hAnsi="Verdana"/>
          <w:i/>
          <w:iCs/>
        </w:rPr>
        <w:t xml:space="preserve"> 1</w:t>
      </w:r>
      <w:r w:rsidRPr="00174FEB">
        <w:rPr>
          <w:rFonts w:ascii="Verdana" w:hAnsi="Verdana"/>
          <w:i/>
          <w:iCs/>
        </w:rPr>
        <w:t xml:space="preserve">: </w:t>
      </w:r>
    </w:p>
    <w:p w14:paraId="06D03C13" w14:textId="70177F79" w:rsidR="00F27E23" w:rsidRDefault="005E0C94" w:rsidP="00174FEB">
      <w:pPr>
        <w:jc w:val="both"/>
        <w:rPr>
          <w:rFonts w:ascii="Verdana" w:hAnsi="Verdana"/>
          <w:bCs/>
        </w:rPr>
      </w:pPr>
      <w:r w:rsidRPr="005E0C94">
        <w:rPr>
          <w:rFonts w:ascii="Verdana" w:hAnsi="Verdana"/>
          <w:bCs/>
        </w:rPr>
        <w:t>Hat man einmal ein Whiteboard für die Lernreise aufgebaut, kann dieses als fertiges Template immer wieder verwendet werden. Der Aufbau kann dabei durchaus aufwändig und komplex sein</w:t>
      </w:r>
      <w:r>
        <w:rPr>
          <w:rFonts w:ascii="Verdana" w:hAnsi="Verdana"/>
          <w:bCs/>
        </w:rPr>
        <w:t xml:space="preserve">. Dies </w:t>
      </w:r>
      <w:r w:rsidRPr="005E0C94">
        <w:rPr>
          <w:rFonts w:ascii="Verdana" w:hAnsi="Verdana"/>
          <w:bCs/>
        </w:rPr>
        <w:t>ist aber auch für die eigene Kreativität förderlich</w:t>
      </w:r>
      <w:r>
        <w:rPr>
          <w:rFonts w:ascii="Verdana" w:hAnsi="Verdana"/>
          <w:bCs/>
        </w:rPr>
        <w:t>.</w:t>
      </w:r>
      <w:r w:rsidRPr="005E0C94">
        <w:rPr>
          <w:rFonts w:ascii="Verdana" w:hAnsi="Verdana"/>
          <w:bCs/>
        </w:rPr>
        <w:t xml:space="preserve"> </w:t>
      </w:r>
      <w:r>
        <w:rPr>
          <w:rFonts w:ascii="Verdana" w:hAnsi="Verdana"/>
          <w:bCs/>
        </w:rPr>
        <w:t>Jeder Aufbau so</w:t>
      </w:r>
      <w:r w:rsidRPr="005E0C94">
        <w:rPr>
          <w:rFonts w:ascii="Verdana" w:hAnsi="Verdana"/>
          <w:bCs/>
        </w:rPr>
        <w:t>llte einer klar erkennbaren und nachvollziehbaren Struktur folgen.</w:t>
      </w:r>
      <w:r>
        <w:rPr>
          <w:rFonts w:ascii="Verdana" w:hAnsi="Verdana"/>
          <w:bCs/>
        </w:rPr>
        <w:t xml:space="preserve"> </w:t>
      </w:r>
    </w:p>
    <w:p w14:paraId="50823BB8" w14:textId="77777777" w:rsidR="00174FEB" w:rsidRPr="005E0C94" w:rsidRDefault="00174FEB" w:rsidP="00174FEB">
      <w:pPr>
        <w:jc w:val="both"/>
        <w:rPr>
          <w:rFonts w:ascii="Verdana" w:hAnsi="Verdana"/>
          <w:bCs/>
        </w:rPr>
      </w:pPr>
    </w:p>
    <w:p w14:paraId="6FF1B59D" w14:textId="450D7388" w:rsidR="00122C9B" w:rsidRDefault="005E0C94" w:rsidP="00174FEB">
      <w:pPr>
        <w:jc w:val="both"/>
        <w:rPr>
          <w:rFonts w:ascii="Verdana" w:hAnsi="Verdana"/>
        </w:rPr>
      </w:pPr>
      <w:r w:rsidRPr="2186CF47">
        <w:rPr>
          <w:rFonts w:ascii="Verdana" w:hAnsi="Verdana"/>
        </w:rPr>
        <w:t xml:space="preserve">Bei sehr komplexen Boards empfiehlt es sich, ein Erklärvideo zu erstellen oder </w:t>
      </w:r>
      <w:r w:rsidR="00122C9B" w:rsidRPr="2186CF47">
        <w:rPr>
          <w:rFonts w:ascii="Verdana" w:hAnsi="Verdana"/>
        </w:rPr>
        <w:t xml:space="preserve">zumindest </w:t>
      </w:r>
      <w:r w:rsidRPr="2186CF47">
        <w:rPr>
          <w:rFonts w:ascii="Verdana" w:hAnsi="Verdana"/>
        </w:rPr>
        <w:t>eine</w:t>
      </w:r>
      <w:r w:rsidR="00122C9B" w:rsidRPr="2186CF47">
        <w:rPr>
          <w:rFonts w:ascii="Verdana" w:hAnsi="Verdana"/>
        </w:rPr>
        <w:t xml:space="preserve">n Startview zu konzipieren, </w:t>
      </w:r>
      <w:r w:rsidRPr="2186CF47">
        <w:rPr>
          <w:rFonts w:ascii="Verdana" w:hAnsi="Verdana"/>
        </w:rPr>
        <w:t xml:space="preserve">von dem aus </w:t>
      </w:r>
      <w:r w:rsidR="00122C9B" w:rsidRPr="2186CF47">
        <w:rPr>
          <w:rFonts w:ascii="Verdana" w:hAnsi="Verdana"/>
        </w:rPr>
        <w:t xml:space="preserve">die Teilnehmenden via Links </w:t>
      </w:r>
      <w:r w:rsidRPr="2186CF47">
        <w:rPr>
          <w:rFonts w:ascii="Verdana" w:hAnsi="Verdana"/>
        </w:rPr>
        <w:t>in die jeweil</w:t>
      </w:r>
      <w:r w:rsidR="00122C9B" w:rsidRPr="2186CF47">
        <w:rPr>
          <w:rFonts w:ascii="Verdana" w:hAnsi="Verdana"/>
        </w:rPr>
        <w:t>s zu verwendenden</w:t>
      </w:r>
      <w:r w:rsidRPr="2186CF47">
        <w:rPr>
          <w:rFonts w:ascii="Verdana" w:hAnsi="Verdana"/>
        </w:rPr>
        <w:t xml:space="preserve"> Flächen </w:t>
      </w:r>
      <w:r w:rsidR="00122C9B" w:rsidRPr="2186CF47">
        <w:rPr>
          <w:rFonts w:ascii="Verdana" w:hAnsi="Verdana"/>
        </w:rPr>
        <w:t>hineinspringen können.</w:t>
      </w:r>
    </w:p>
    <w:p w14:paraId="7E5A9691" w14:textId="6C87BE80" w:rsidR="19BA533F" w:rsidRPr="00174FEB" w:rsidRDefault="19BA533F" w:rsidP="2186CF47">
      <w:pPr>
        <w:spacing w:before="240" w:after="120"/>
        <w:jc w:val="both"/>
        <w:rPr>
          <w:rFonts w:ascii="Verdana" w:hAnsi="Verdana"/>
          <w:i/>
          <w:iCs/>
        </w:rPr>
      </w:pPr>
      <w:r w:rsidRPr="00174FEB">
        <w:rPr>
          <w:rFonts w:ascii="Verdana" w:hAnsi="Verdana"/>
          <w:i/>
          <w:iCs/>
        </w:rPr>
        <w:t>Tipp 2:</w:t>
      </w:r>
    </w:p>
    <w:p w14:paraId="582EA2D9" w14:textId="3D0B8604" w:rsidR="45925CF4" w:rsidRDefault="45925CF4" w:rsidP="00174FEB">
      <w:pPr>
        <w:jc w:val="both"/>
        <w:rPr>
          <w:rFonts w:ascii="Verdana" w:hAnsi="Verdana"/>
        </w:rPr>
      </w:pPr>
      <w:r w:rsidRPr="1BE1691D">
        <w:rPr>
          <w:rFonts w:ascii="Verdana" w:hAnsi="Verdana"/>
        </w:rPr>
        <w:t>Für Gruppenarbeiten, bei denen die verschiedenen Gruppen zunächst nicht sehen soll</w:t>
      </w:r>
      <w:r w:rsidR="17275CC5" w:rsidRPr="1BE1691D">
        <w:rPr>
          <w:rFonts w:ascii="Verdana" w:hAnsi="Verdana"/>
        </w:rPr>
        <w:t>en</w:t>
      </w:r>
      <w:r w:rsidRPr="1BE1691D">
        <w:rPr>
          <w:rFonts w:ascii="Verdana" w:hAnsi="Verdana"/>
        </w:rPr>
        <w:t xml:space="preserve">, was die jeweils Anderen im Whiteboard visualisieren oder aufschreiben, </w:t>
      </w:r>
      <w:r w:rsidR="38255FD3" w:rsidRPr="1BE1691D">
        <w:rPr>
          <w:rFonts w:ascii="Verdana" w:hAnsi="Verdana"/>
        </w:rPr>
        <w:t xml:space="preserve">bietet es sich an, jeweils eigene Whiteboards zu erstellen und den Gruppen den jeweiligen Link dorthin zukommen zu lassen. Um diese dann wieder zusammenzuführen, kann im Vorfeld eine Fläche </w:t>
      </w:r>
      <w:r w:rsidR="7BD63C01" w:rsidRPr="1BE1691D">
        <w:rPr>
          <w:rFonts w:ascii="Verdana" w:hAnsi="Verdana"/>
        </w:rPr>
        <w:t xml:space="preserve">im Haupt-Board </w:t>
      </w:r>
      <w:r w:rsidR="38255FD3" w:rsidRPr="1BE1691D">
        <w:rPr>
          <w:rFonts w:ascii="Verdana" w:hAnsi="Verdana"/>
        </w:rPr>
        <w:t xml:space="preserve">aufgebaut werden, die </w:t>
      </w:r>
      <w:r w:rsidR="054C7384" w:rsidRPr="1BE1691D">
        <w:rPr>
          <w:rFonts w:ascii="Verdana" w:hAnsi="Verdana"/>
        </w:rPr>
        <w:t>alle Links zu den Gruppen-Boards enthält. Diese kann vor und während der Gruppenübung auf “unsichtbar” gesetzt werden. Diese Funktionalität ist vor allem bei MIRO sehr einfach anzuwenden</w:t>
      </w:r>
      <w:r w:rsidR="554CCDAF" w:rsidRPr="1BE1691D">
        <w:rPr>
          <w:rFonts w:ascii="Verdana" w:hAnsi="Verdana"/>
        </w:rPr>
        <w:t>, indem man auf das offene oder</w:t>
      </w:r>
      <w:r w:rsidR="19A6F0D2" w:rsidRPr="1BE1691D">
        <w:rPr>
          <w:rFonts w:ascii="Verdana" w:hAnsi="Verdana"/>
        </w:rPr>
        <w:t xml:space="preserve"> wie</w:t>
      </w:r>
      <w:r w:rsidR="554CCDAF" w:rsidRPr="1BE1691D">
        <w:rPr>
          <w:rFonts w:ascii="Verdana" w:hAnsi="Verdana"/>
        </w:rPr>
        <w:t xml:space="preserve"> im Bild unten geschlossene Auge klickt</w:t>
      </w:r>
      <w:r w:rsidR="054C7384" w:rsidRPr="1BE1691D">
        <w:rPr>
          <w:rFonts w:ascii="Verdana" w:hAnsi="Verdana"/>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tblGrid>
      <w:tr w:rsidR="00B31F8B" w14:paraId="3D6423C7" w14:textId="77777777" w:rsidTr="008B144A">
        <w:tc>
          <w:tcPr>
            <w:tcW w:w="4184" w:type="dxa"/>
          </w:tcPr>
          <w:p w14:paraId="34084C4E" w14:textId="3A915566" w:rsidR="00B31F8B" w:rsidRDefault="00B31F8B" w:rsidP="2186CF47">
            <w:pPr>
              <w:spacing w:before="240" w:after="120"/>
              <w:jc w:val="both"/>
              <w:rPr>
                <w:rFonts w:ascii="Verdana" w:hAnsi="Verdana"/>
              </w:rPr>
            </w:pPr>
            <w:r>
              <w:rPr>
                <w:noProof/>
              </w:rPr>
              <w:drawing>
                <wp:inline distT="0" distB="0" distL="0" distR="0" wp14:anchorId="7485F8CD" wp14:editId="379F222A">
                  <wp:extent cx="2203450" cy="1854573"/>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5584" cy="1890036"/>
                          </a:xfrm>
                          <a:prstGeom prst="rect">
                            <a:avLst/>
                          </a:prstGeom>
                        </pic:spPr>
                      </pic:pic>
                    </a:graphicData>
                  </a:graphic>
                </wp:inline>
              </w:drawing>
            </w:r>
          </w:p>
        </w:tc>
      </w:tr>
      <w:tr w:rsidR="00B31F8B" w14:paraId="0D6B82B5" w14:textId="77777777" w:rsidTr="008B144A">
        <w:tc>
          <w:tcPr>
            <w:tcW w:w="4184" w:type="dxa"/>
          </w:tcPr>
          <w:p w14:paraId="45BD6228" w14:textId="3FBA1A51" w:rsidR="00B31F8B" w:rsidRDefault="008B144A" w:rsidP="2186CF47">
            <w:pPr>
              <w:spacing w:before="240" w:after="120"/>
              <w:jc w:val="both"/>
              <w:rPr>
                <w:rFonts w:ascii="Verdana" w:hAnsi="Verdana"/>
              </w:rPr>
            </w:pPr>
            <w:r w:rsidRPr="008B144A">
              <w:rPr>
                <w:rFonts w:ascii="Verdana" w:hAnsi="Verdana"/>
                <w:i/>
                <w:sz w:val="18"/>
                <w:szCs w:val="18"/>
              </w:rPr>
              <w:lastRenderedPageBreak/>
              <w:t>Abb. 5: Funktionalität “Hidden for now” im M</w:t>
            </w:r>
            <w:r w:rsidR="008A002F">
              <w:rPr>
                <w:rFonts w:ascii="Verdana" w:hAnsi="Verdana"/>
                <w:i/>
                <w:sz w:val="18"/>
                <w:szCs w:val="18"/>
              </w:rPr>
              <w:t>IRO</w:t>
            </w:r>
            <w:r w:rsidRPr="008B144A">
              <w:rPr>
                <w:rFonts w:ascii="Verdana" w:hAnsi="Verdana"/>
                <w:i/>
                <w:sz w:val="18"/>
                <w:szCs w:val="18"/>
              </w:rPr>
              <w:t>-Board</w:t>
            </w:r>
          </w:p>
        </w:tc>
      </w:tr>
    </w:tbl>
    <w:p w14:paraId="25F0235F" w14:textId="1878FFD1" w:rsidR="009A5A83" w:rsidRPr="005E0C94" w:rsidRDefault="002F073C" w:rsidP="009A5A83">
      <w:pPr>
        <w:spacing w:before="240" w:after="120"/>
        <w:jc w:val="both"/>
        <w:rPr>
          <w:rFonts w:ascii="Verdana" w:hAnsi="Verdana"/>
          <w:b/>
        </w:rPr>
      </w:pPr>
      <w:r w:rsidRPr="005E0C94">
        <w:rPr>
          <w:rFonts w:ascii="Verdana" w:hAnsi="Verdana"/>
          <w:b/>
        </w:rPr>
        <w:t>Hybrid asy</w:t>
      </w:r>
      <w:r w:rsidR="005E0C94" w:rsidRPr="005E0C94">
        <w:rPr>
          <w:rFonts w:ascii="Verdana" w:hAnsi="Verdana"/>
          <w:b/>
        </w:rPr>
        <w:t>n</w:t>
      </w:r>
      <w:r w:rsidRPr="005E0C94">
        <w:rPr>
          <w:rFonts w:ascii="Verdana" w:hAnsi="Verdana"/>
          <w:b/>
        </w:rPr>
        <w:t>chron und synchron</w:t>
      </w:r>
    </w:p>
    <w:p w14:paraId="5C378359" w14:textId="7831A323" w:rsidR="00122C9B" w:rsidRDefault="00122C9B" w:rsidP="00174FEB">
      <w:pPr>
        <w:jc w:val="both"/>
        <w:rPr>
          <w:rFonts w:ascii="Verdana" w:hAnsi="Verdana"/>
        </w:rPr>
      </w:pPr>
      <w:r w:rsidRPr="4BA09D50">
        <w:rPr>
          <w:rFonts w:ascii="Verdana" w:hAnsi="Verdana"/>
        </w:rPr>
        <w:t>Lernreisen verbinden asynchrone Selbstlernphasen mit synchronen Austauschphasen.</w:t>
      </w:r>
      <w:r w:rsidR="4BBC2D2A" w:rsidRPr="4BA09D50">
        <w:rPr>
          <w:rFonts w:ascii="Verdana" w:hAnsi="Verdana"/>
        </w:rPr>
        <w:t xml:space="preserve"> I</w:t>
      </w:r>
      <w:r w:rsidR="30749190" w:rsidRPr="4BA09D50">
        <w:rPr>
          <w:rFonts w:ascii="Verdana" w:hAnsi="Verdana"/>
        </w:rPr>
        <w:t>n</w:t>
      </w:r>
      <w:r w:rsidR="4BBC2D2A" w:rsidRPr="4BA09D50">
        <w:rPr>
          <w:rFonts w:ascii="Verdana" w:hAnsi="Verdana"/>
        </w:rPr>
        <w:t xml:space="preserve"> jeder Phase steht es den </w:t>
      </w:r>
      <w:r w:rsidR="6567F863" w:rsidRPr="4BA09D50">
        <w:rPr>
          <w:rFonts w:ascii="Verdana" w:hAnsi="Verdana"/>
        </w:rPr>
        <w:t xml:space="preserve">Teilnehmenden </w:t>
      </w:r>
      <w:r w:rsidR="02648CBC" w:rsidRPr="4BA09D50">
        <w:rPr>
          <w:rFonts w:ascii="Verdana" w:hAnsi="Verdana"/>
        </w:rPr>
        <w:t xml:space="preserve">frei, ob sie online oder offline teilnehmen, </w:t>
      </w:r>
      <w:r w:rsidR="43CA43A2" w:rsidRPr="4BA09D50">
        <w:rPr>
          <w:rFonts w:ascii="Verdana" w:hAnsi="Verdana"/>
        </w:rPr>
        <w:t>denn</w:t>
      </w:r>
      <w:r w:rsidR="02648CBC" w:rsidRPr="4BA09D50">
        <w:rPr>
          <w:rFonts w:ascii="Verdana" w:hAnsi="Verdana"/>
        </w:rPr>
        <w:t xml:space="preserve">och </w:t>
      </w:r>
      <w:r w:rsidR="6567F863" w:rsidRPr="4BA09D50">
        <w:rPr>
          <w:rFonts w:ascii="Verdana" w:hAnsi="Verdana"/>
        </w:rPr>
        <w:t xml:space="preserve">müssen </w:t>
      </w:r>
      <w:r w:rsidR="24843CB0" w:rsidRPr="4BA09D50">
        <w:rPr>
          <w:rFonts w:ascii="Verdana" w:hAnsi="Verdana"/>
        </w:rPr>
        <w:t xml:space="preserve">alle Teilnehmenden </w:t>
      </w:r>
      <w:r w:rsidR="6567F863" w:rsidRPr="4BA09D50">
        <w:rPr>
          <w:rFonts w:ascii="Verdana" w:hAnsi="Verdana"/>
        </w:rPr>
        <w:t xml:space="preserve">über </w:t>
      </w:r>
      <w:r w:rsidR="66D2524A" w:rsidRPr="4BA09D50">
        <w:rPr>
          <w:rFonts w:ascii="Verdana" w:hAnsi="Verdana"/>
        </w:rPr>
        <w:t xml:space="preserve">portable </w:t>
      </w:r>
      <w:r w:rsidR="6567F863" w:rsidRPr="4BA09D50">
        <w:rPr>
          <w:rFonts w:ascii="Verdana" w:hAnsi="Verdana"/>
        </w:rPr>
        <w:t xml:space="preserve">Endgeräte verfügen, die die Nutzung von virtuellen Besprechungen und digitalen Whitebords ermöglichen. </w:t>
      </w:r>
    </w:p>
    <w:p w14:paraId="234C5E3E" w14:textId="77777777" w:rsidR="00174FEB" w:rsidRDefault="00174FEB" w:rsidP="00174FEB">
      <w:pPr>
        <w:jc w:val="both"/>
        <w:rPr>
          <w:rFonts w:ascii="Verdana" w:hAnsi="Verdana"/>
        </w:rPr>
      </w:pPr>
    </w:p>
    <w:p w14:paraId="65478D7C" w14:textId="43C832FC" w:rsidR="404260A1" w:rsidRDefault="404260A1" w:rsidP="00174FEB">
      <w:pPr>
        <w:jc w:val="both"/>
        <w:rPr>
          <w:rFonts w:ascii="Verdana" w:hAnsi="Verdana"/>
        </w:rPr>
      </w:pPr>
      <w:r w:rsidRPr="4BA09D50">
        <w:rPr>
          <w:rFonts w:ascii="Verdana" w:hAnsi="Verdana"/>
        </w:rPr>
        <w:t xml:space="preserve">Für die Teilnahme in den Räumen der DIU sind diese mit Videokonferenztechnik ausgestattet, die es erlaubt, Bild und Ton sowohl in den Raum als auch </w:t>
      </w:r>
      <w:r w:rsidR="2BDDCDE0" w:rsidRPr="4BA09D50">
        <w:rPr>
          <w:rFonts w:ascii="Verdana" w:hAnsi="Verdana"/>
        </w:rPr>
        <w:t xml:space="preserve">aus dem Raum </w:t>
      </w:r>
      <w:r w:rsidRPr="4BA09D50">
        <w:rPr>
          <w:rFonts w:ascii="Verdana" w:hAnsi="Verdana"/>
        </w:rPr>
        <w:t>zu den v</w:t>
      </w:r>
      <w:r w:rsidR="32407A77" w:rsidRPr="4BA09D50">
        <w:rPr>
          <w:rFonts w:ascii="Verdana" w:hAnsi="Verdana"/>
        </w:rPr>
        <w:t xml:space="preserve">irtuell Teilnehmenden </w:t>
      </w:r>
      <w:r w:rsidRPr="4BA09D50">
        <w:rPr>
          <w:rFonts w:ascii="Verdana" w:hAnsi="Verdana"/>
        </w:rPr>
        <w:t>zu übertragen</w:t>
      </w:r>
      <w:r w:rsidR="28349D77" w:rsidRPr="4BA09D50">
        <w:rPr>
          <w:rFonts w:ascii="Verdana" w:hAnsi="Verdana"/>
        </w:rPr>
        <w:t xml:space="preserve">. </w:t>
      </w:r>
    </w:p>
    <w:p w14:paraId="7258CBCE" w14:textId="77777777" w:rsidR="00174FEB" w:rsidRDefault="00174FEB" w:rsidP="00174FEB">
      <w:pPr>
        <w:jc w:val="both"/>
        <w:rPr>
          <w:rFonts w:ascii="Verdana" w:hAnsi="Verdana"/>
        </w:rPr>
      </w:pPr>
    </w:p>
    <w:p w14:paraId="11A067B1" w14:textId="01D3D07B" w:rsidR="5B13AAB7" w:rsidRDefault="5B13AAB7" w:rsidP="00174FEB">
      <w:pPr>
        <w:jc w:val="both"/>
        <w:rPr>
          <w:rFonts w:ascii="Verdana" w:hAnsi="Verdana"/>
        </w:rPr>
      </w:pPr>
      <w:r w:rsidRPr="1BE1691D">
        <w:rPr>
          <w:rFonts w:ascii="Verdana" w:hAnsi="Verdana"/>
        </w:rPr>
        <w:t xml:space="preserve">In den asynchronen Gruppenlernphasen </w:t>
      </w:r>
      <w:r w:rsidR="0BA63981" w:rsidRPr="1BE1691D">
        <w:rPr>
          <w:rFonts w:ascii="Verdana" w:hAnsi="Verdana"/>
        </w:rPr>
        <w:t xml:space="preserve">können </w:t>
      </w:r>
      <w:r w:rsidR="4356696E" w:rsidRPr="1BE1691D">
        <w:rPr>
          <w:rFonts w:ascii="Verdana" w:hAnsi="Verdana"/>
        </w:rPr>
        <w:t>d</w:t>
      </w:r>
      <w:r w:rsidR="0BA63981" w:rsidRPr="1BE1691D">
        <w:rPr>
          <w:rFonts w:ascii="Verdana" w:hAnsi="Verdana"/>
        </w:rPr>
        <w:t xml:space="preserve">ie Teilnehmenden ihren Lernort ebenfalls frei wählen. </w:t>
      </w:r>
      <w:r w:rsidR="162690D7" w:rsidRPr="1BE1691D">
        <w:rPr>
          <w:rFonts w:ascii="Verdana" w:hAnsi="Verdana"/>
        </w:rPr>
        <w:t xml:space="preserve">In manchen Gruppen trifft man sich möglicherweise komplett analog im Biergarten, in anderen virtuell. Besonders interessant sind auch hier die Mischformen. </w:t>
      </w:r>
      <w:r w:rsidR="5EAFB173" w:rsidRPr="1BE1691D">
        <w:rPr>
          <w:rFonts w:ascii="Verdana" w:hAnsi="Verdana"/>
        </w:rPr>
        <w:t xml:space="preserve">Es ist eine gute Koordinierung in den Gruppen erforderlich, wenn nicht alle am selben physischen Ort bzw. alle virtuell dabei sind. </w:t>
      </w:r>
      <w:r w:rsidR="6CBBE6EA" w:rsidRPr="1BE1691D">
        <w:rPr>
          <w:rFonts w:ascii="Verdana" w:hAnsi="Verdana"/>
        </w:rPr>
        <w:t>Auch das ist eine Kompetenz, die ausprobiert werden muss, um sich souverän in der hybriden Arbeits- und Lernwelt bewegen zu können.</w:t>
      </w:r>
      <w:r w:rsidR="1A66EB0D" w:rsidRPr="1BE1691D">
        <w:rPr>
          <w:rFonts w:ascii="Verdana" w:hAnsi="Verdana"/>
        </w:rPr>
        <w:t xml:space="preserve"> Gerade bei MIRO ist eine virtuelle Teilnahme mit dem Smartphone gut machbar, da es eine praktikable </w:t>
      </w:r>
      <w:r w:rsidR="1C02BB6E" w:rsidRPr="1BE1691D">
        <w:rPr>
          <w:rFonts w:ascii="Verdana" w:hAnsi="Verdana"/>
        </w:rPr>
        <w:t>App gibt.</w:t>
      </w:r>
    </w:p>
    <w:p w14:paraId="39C4BDAD" w14:textId="4A82A18A" w:rsidR="1C90C6F7" w:rsidRDefault="1C90C6F7" w:rsidP="00174FEB">
      <w:pPr>
        <w:jc w:val="both"/>
        <w:rPr>
          <w:rFonts w:ascii="Verdana" w:hAnsi="Verdana"/>
        </w:rPr>
      </w:pPr>
      <w:r w:rsidRPr="1BE1691D">
        <w:rPr>
          <w:rFonts w:ascii="Verdana" w:hAnsi="Verdana"/>
        </w:rPr>
        <w:t>Tipps für hybride Lern- und Arbeitswelten:</w:t>
      </w:r>
    </w:p>
    <w:p w14:paraId="107C0DAB" w14:textId="77777777" w:rsidR="00174FEB" w:rsidRDefault="00174FEB" w:rsidP="00174FEB">
      <w:pPr>
        <w:jc w:val="both"/>
        <w:rPr>
          <w:rFonts w:ascii="Verdana" w:hAnsi="Verdana"/>
        </w:rPr>
      </w:pPr>
    </w:p>
    <w:p w14:paraId="34BF78C2" w14:textId="6A125693" w:rsidR="26E6A6D5" w:rsidRDefault="26E6A6D5" w:rsidP="00174FEB">
      <w:pPr>
        <w:spacing w:line="259" w:lineRule="auto"/>
        <w:jc w:val="both"/>
        <w:rPr>
          <w:rFonts w:ascii="Verdana" w:hAnsi="Verdana"/>
        </w:rPr>
      </w:pPr>
      <w:r w:rsidRPr="1BE1691D">
        <w:rPr>
          <w:rFonts w:ascii="Verdana" w:hAnsi="Verdana"/>
        </w:rPr>
        <w:t xml:space="preserve">Legen Sie im Vorfeld konkrete Termine für die synchronen Treffen </w:t>
      </w:r>
      <w:r w:rsidR="5FA927C4" w:rsidRPr="1BE1691D">
        <w:rPr>
          <w:rFonts w:ascii="Verdana" w:hAnsi="Verdana"/>
        </w:rPr>
        <w:t xml:space="preserve">aller Teilnehmenden </w:t>
      </w:r>
      <w:r w:rsidRPr="1BE1691D">
        <w:rPr>
          <w:rFonts w:ascii="Verdana" w:hAnsi="Verdana"/>
        </w:rPr>
        <w:t xml:space="preserve">fest, die zu den jeweiligen Aufgabenstellungen passen, die asynchron entweder selbstorganisiert oder in der Gruppe betrachtet werden sollen. </w:t>
      </w:r>
      <w:r w:rsidR="17634470" w:rsidRPr="1BE1691D">
        <w:rPr>
          <w:rFonts w:ascii="Verdana" w:hAnsi="Verdana"/>
        </w:rPr>
        <w:t>F</w:t>
      </w:r>
      <w:r w:rsidRPr="1BE1691D">
        <w:rPr>
          <w:rFonts w:ascii="Verdana" w:hAnsi="Verdana"/>
        </w:rPr>
        <w:t>este Anker</w:t>
      </w:r>
      <w:r w:rsidR="3810D1D7" w:rsidRPr="1BE1691D">
        <w:rPr>
          <w:rFonts w:ascii="Verdana" w:hAnsi="Verdana"/>
        </w:rPr>
        <w:t>punkt</w:t>
      </w:r>
      <w:r w:rsidR="245907D7" w:rsidRPr="1BE1691D">
        <w:rPr>
          <w:rFonts w:ascii="Verdana" w:hAnsi="Verdana"/>
        </w:rPr>
        <w:t>e</w:t>
      </w:r>
      <w:r w:rsidR="3810D1D7" w:rsidRPr="1BE1691D">
        <w:rPr>
          <w:rFonts w:ascii="Verdana" w:hAnsi="Verdana"/>
        </w:rPr>
        <w:t xml:space="preserve"> im Kalender </w:t>
      </w:r>
      <w:r w:rsidR="20EB4B14" w:rsidRPr="1BE1691D">
        <w:rPr>
          <w:rFonts w:ascii="Verdana" w:hAnsi="Verdana"/>
        </w:rPr>
        <w:t xml:space="preserve">sind </w:t>
      </w:r>
      <w:r w:rsidR="3810D1D7" w:rsidRPr="1BE1691D">
        <w:rPr>
          <w:rFonts w:ascii="Verdana" w:hAnsi="Verdana"/>
        </w:rPr>
        <w:t>wichtig</w:t>
      </w:r>
      <w:r w:rsidR="1C8B6D06" w:rsidRPr="1BE1691D">
        <w:rPr>
          <w:rFonts w:ascii="Verdana" w:hAnsi="Verdana"/>
        </w:rPr>
        <w:t>, damit das Lernen möglichst zielgerichtet ist</w:t>
      </w:r>
      <w:r w:rsidR="48FD4FB2" w:rsidRPr="1BE1691D">
        <w:rPr>
          <w:rFonts w:ascii="Verdana" w:hAnsi="Verdana"/>
        </w:rPr>
        <w:t xml:space="preserve"> und sich die Teilnehmenden fokussieren können</w:t>
      </w:r>
      <w:r w:rsidR="1C8B6D06" w:rsidRPr="1BE1691D">
        <w:rPr>
          <w:rFonts w:ascii="Verdana" w:hAnsi="Verdana"/>
        </w:rPr>
        <w:t>.</w:t>
      </w:r>
      <w:r w:rsidR="7F026AA6" w:rsidRPr="1BE1691D">
        <w:rPr>
          <w:rFonts w:ascii="Verdana" w:hAnsi="Verdana"/>
        </w:rPr>
        <w:t xml:space="preserve"> </w:t>
      </w:r>
    </w:p>
    <w:p w14:paraId="5C902323" w14:textId="77777777" w:rsidR="00174FEB" w:rsidRDefault="00174FEB" w:rsidP="00174FEB">
      <w:pPr>
        <w:spacing w:line="259" w:lineRule="auto"/>
        <w:jc w:val="both"/>
        <w:rPr>
          <w:rFonts w:ascii="Verdana" w:hAnsi="Verdana"/>
        </w:rPr>
      </w:pPr>
    </w:p>
    <w:p w14:paraId="63BA6F2D" w14:textId="1FDA34F8" w:rsidR="4AB14520" w:rsidRDefault="4AB14520" w:rsidP="00174FEB">
      <w:pPr>
        <w:spacing w:line="259" w:lineRule="auto"/>
        <w:jc w:val="both"/>
        <w:rPr>
          <w:rFonts w:ascii="Verdana" w:hAnsi="Verdana"/>
        </w:rPr>
      </w:pPr>
      <w:r w:rsidRPr="1BE1691D">
        <w:rPr>
          <w:rFonts w:ascii="Verdana" w:hAnsi="Verdana"/>
        </w:rPr>
        <w:t>Bieten Sie eine Kontaktmöglichkeit für Rückfragen in der Selbstlernzeit. Hierfür eignet sich die Chatfunktion im Board oder eine Q&amp;A-Fläche pro</w:t>
      </w:r>
      <w:r w:rsidR="355A9C3A" w:rsidRPr="1BE1691D">
        <w:rPr>
          <w:rFonts w:ascii="Verdana" w:hAnsi="Verdana"/>
        </w:rPr>
        <w:t xml:space="preserve"> (Teil-)Ziel. Es ist aber zu beachten, dass Sie ganz klar regeln, dass Sie </w:t>
      </w:r>
      <w:r w:rsidR="217A3B9B" w:rsidRPr="1BE1691D">
        <w:rPr>
          <w:rFonts w:ascii="Verdana" w:hAnsi="Verdana"/>
        </w:rPr>
        <w:t xml:space="preserve">als Lernreisebegleiter:in </w:t>
      </w:r>
      <w:r w:rsidR="62D55669" w:rsidRPr="1BE1691D">
        <w:rPr>
          <w:rFonts w:ascii="Verdana" w:hAnsi="Verdana"/>
        </w:rPr>
        <w:t xml:space="preserve">sich </w:t>
      </w:r>
      <w:r w:rsidR="355A9C3A" w:rsidRPr="1BE1691D">
        <w:rPr>
          <w:rFonts w:ascii="Verdana" w:hAnsi="Verdana"/>
        </w:rPr>
        <w:t xml:space="preserve">bestimmte Termine </w:t>
      </w:r>
      <w:r w:rsidR="7F5683B8" w:rsidRPr="1BE1691D">
        <w:rPr>
          <w:rFonts w:ascii="Verdana" w:hAnsi="Verdana"/>
        </w:rPr>
        <w:t xml:space="preserve">setzen, um ins </w:t>
      </w:r>
      <w:r w:rsidR="7F5683B8" w:rsidRPr="1BE1691D">
        <w:rPr>
          <w:rFonts w:ascii="Verdana" w:hAnsi="Verdana"/>
        </w:rPr>
        <w:lastRenderedPageBreak/>
        <w:t>Board zu schauen</w:t>
      </w:r>
      <w:r w:rsidR="07A234E4" w:rsidRPr="1BE1691D">
        <w:rPr>
          <w:rFonts w:ascii="Verdana" w:hAnsi="Verdana"/>
        </w:rPr>
        <w:t>,</w:t>
      </w:r>
      <w:r w:rsidR="7F5683B8" w:rsidRPr="1BE1691D">
        <w:rPr>
          <w:rFonts w:ascii="Verdana" w:hAnsi="Verdana"/>
        </w:rPr>
        <w:t xml:space="preserve"> </w:t>
      </w:r>
      <w:r w:rsidR="61004147" w:rsidRPr="1BE1691D">
        <w:rPr>
          <w:rFonts w:ascii="Verdana" w:hAnsi="Verdana"/>
        </w:rPr>
        <w:t>um</w:t>
      </w:r>
      <w:r w:rsidR="7F5683B8" w:rsidRPr="1BE1691D">
        <w:rPr>
          <w:rFonts w:ascii="Verdana" w:hAnsi="Verdana"/>
        </w:rPr>
        <w:t xml:space="preserve"> die Fragen zu beantworten. Von einer Rund-um-die-Uhr-Betreuung wird dringend abgeraten.</w:t>
      </w:r>
    </w:p>
    <w:p w14:paraId="112EE2FE" w14:textId="77777777" w:rsidR="00174FEB" w:rsidRDefault="00174FEB" w:rsidP="00174FEB">
      <w:pPr>
        <w:spacing w:line="259" w:lineRule="auto"/>
        <w:jc w:val="both"/>
        <w:rPr>
          <w:rFonts w:ascii="Verdana" w:hAnsi="Verdana"/>
        </w:rPr>
      </w:pPr>
    </w:p>
    <w:p w14:paraId="4F1EFE9F" w14:textId="75499687" w:rsidR="4DE588CA" w:rsidRDefault="4DE588CA" w:rsidP="00174FEB">
      <w:pPr>
        <w:spacing w:line="259" w:lineRule="auto"/>
        <w:jc w:val="both"/>
        <w:rPr>
          <w:rFonts w:ascii="Verdana" w:hAnsi="Verdana"/>
        </w:rPr>
      </w:pPr>
      <w:r w:rsidRPr="1BE1691D">
        <w:rPr>
          <w:rFonts w:ascii="Verdana" w:hAnsi="Verdana"/>
        </w:rPr>
        <w:t xml:space="preserve">Suchen Sie sich engagierte Studierende, die Sie mit bestimmten Aufgaben betrauen können, wie z.B. der Chatbetreuung, so dass Sie sich auf die Moderation von hybriden Veranstaltungen konzentrieren können. </w:t>
      </w:r>
      <w:r w:rsidR="4E69BAEC" w:rsidRPr="1BE1691D">
        <w:rPr>
          <w:rFonts w:ascii="Verdana" w:hAnsi="Verdana"/>
        </w:rPr>
        <w:t xml:space="preserve">Wenn Sie selbst mit einigen Teilnehmenden </w:t>
      </w:r>
      <w:r w:rsidR="3AA285F6" w:rsidRPr="1BE1691D">
        <w:rPr>
          <w:rFonts w:ascii="Verdana" w:hAnsi="Verdana"/>
        </w:rPr>
        <w:t>o</w:t>
      </w:r>
      <w:r w:rsidR="4E69BAEC" w:rsidRPr="1BE1691D">
        <w:rPr>
          <w:rFonts w:ascii="Verdana" w:hAnsi="Verdana"/>
        </w:rPr>
        <w:t xml:space="preserve">ffline dabei sind, sich aber einige Teilnehmende virtuell zuschalten, ist die Moderation besonders wichtig. </w:t>
      </w:r>
    </w:p>
    <w:p w14:paraId="3C25840F" w14:textId="0060F339" w:rsidR="639735B2" w:rsidRDefault="639735B2" w:rsidP="1BE1691D">
      <w:pPr>
        <w:spacing w:before="240" w:after="120"/>
        <w:jc w:val="both"/>
        <w:rPr>
          <w:rFonts w:ascii="Verdana" w:hAnsi="Verdana"/>
          <w:b/>
          <w:bCs/>
        </w:rPr>
      </w:pPr>
      <w:r w:rsidRPr="1BE1691D">
        <w:rPr>
          <w:rFonts w:ascii="Verdana" w:hAnsi="Verdana"/>
          <w:b/>
          <w:bCs/>
        </w:rPr>
        <w:t>Hürden und Grenzen für Lernreisen</w:t>
      </w:r>
    </w:p>
    <w:p w14:paraId="2D5ED9C3" w14:textId="77777777" w:rsidR="00C0464D" w:rsidRDefault="639735B2" w:rsidP="1BE1691D">
      <w:pPr>
        <w:spacing w:before="240" w:after="120"/>
        <w:jc w:val="both"/>
        <w:rPr>
          <w:rFonts w:ascii="Verdana" w:hAnsi="Verdana"/>
        </w:rPr>
      </w:pPr>
      <w:r w:rsidRPr="1BE1691D">
        <w:rPr>
          <w:rFonts w:ascii="Verdana" w:hAnsi="Verdana"/>
        </w:rPr>
        <w:t xml:space="preserve">Eine Lernreise zu gestalten ist sinnvoll, wenn man die Lerngruppe über einen längeren Zeitraum </w:t>
      </w:r>
      <w:r w:rsidR="1B97D759" w:rsidRPr="1BE1691D">
        <w:rPr>
          <w:rFonts w:ascii="Verdana" w:hAnsi="Verdana"/>
        </w:rPr>
        <w:t xml:space="preserve">kreativ und kollaborativ </w:t>
      </w:r>
      <w:r w:rsidRPr="1BE1691D">
        <w:rPr>
          <w:rFonts w:ascii="Verdana" w:hAnsi="Verdana"/>
        </w:rPr>
        <w:t xml:space="preserve">an ein Ziel heranführen möchte. </w:t>
      </w:r>
    </w:p>
    <w:p w14:paraId="1100925C" w14:textId="5DFB8180" w:rsidR="00174FEB" w:rsidRDefault="639735B2" w:rsidP="00174FEB">
      <w:pPr>
        <w:jc w:val="both"/>
        <w:rPr>
          <w:rFonts w:ascii="Verdana" w:hAnsi="Verdana"/>
        </w:rPr>
      </w:pPr>
      <w:r w:rsidRPr="1BE1691D">
        <w:rPr>
          <w:rFonts w:ascii="Verdana" w:hAnsi="Verdana"/>
        </w:rPr>
        <w:t>Die Nut</w:t>
      </w:r>
      <w:r w:rsidR="7064627A" w:rsidRPr="1BE1691D">
        <w:rPr>
          <w:rFonts w:ascii="Verdana" w:hAnsi="Verdana"/>
        </w:rPr>
        <w:t>z</w:t>
      </w:r>
      <w:r w:rsidRPr="1BE1691D">
        <w:rPr>
          <w:rFonts w:ascii="Verdana" w:hAnsi="Verdana"/>
        </w:rPr>
        <w:t>ung von Whiteboards im vollen Funkt</w:t>
      </w:r>
      <w:r w:rsidR="4D1CF068" w:rsidRPr="1BE1691D">
        <w:rPr>
          <w:rFonts w:ascii="Verdana" w:hAnsi="Verdana"/>
        </w:rPr>
        <w:t xml:space="preserve">ionsumfang </w:t>
      </w:r>
      <w:r w:rsidR="79C88711" w:rsidRPr="1BE1691D">
        <w:rPr>
          <w:rFonts w:ascii="Verdana" w:hAnsi="Verdana"/>
        </w:rPr>
        <w:t xml:space="preserve">ist zunächst sehr aufwändig und kostet Zeit. Ein wiederverwendbares Template aufzubauen, das eine Lernreise mit verschiedenen </w:t>
      </w:r>
      <w:r w:rsidR="59C28AED" w:rsidRPr="1BE1691D">
        <w:rPr>
          <w:rFonts w:ascii="Verdana" w:hAnsi="Verdana"/>
        </w:rPr>
        <w:t xml:space="preserve">synchronen und asynchronen </w:t>
      </w:r>
      <w:r w:rsidR="79C88711" w:rsidRPr="1BE1691D">
        <w:rPr>
          <w:rFonts w:ascii="Verdana" w:hAnsi="Verdana"/>
        </w:rPr>
        <w:t xml:space="preserve">Selbst- und </w:t>
      </w:r>
      <w:r w:rsidR="6D29FABB" w:rsidRPr="1BE1691D">
        <w:rPr>
          <w:rFonts w:ascii="Verdana" w:hAnsi="Verdana"/>
        </w:rPr>
        <w:t xml:space="preserve">Gemeinsamlernphasen </w:t>
      </w:r>
      <w:r w:rsidR="6DAE2CDD" w:rsidRPr="1BE1691D">
        <w:rPr>
          <w:rFonts w:ascii="Verdana" w:hAnsi="Verdana"/>
        </w:rPr>
        <w:t xml:space="preserve">abbildet, </w:t>
      </w:r>
      <w:r w:rsidR="6D29FABB" w:rsidRPr="1BE1691D">
        <w:rPr>
          <w:rFonts w:ascii="Verdana" w:hAnsi="Verdana"/>
        </w:rPr>
        <w:t xml:space="preserve">muss gut durchdacht sein. </w:t>
      </w:r>
      <w:r w:rsidR="0B215286" w:rsidRPr="1BE1691D">
        <w:rPr>
          <w:rFonts w:ascii="Verdana" w:hAnsi="Verdana"/>
        </w:rPr>
        <w:t>Ein</w:t>
      </w:r>
      <w:r w:rsidR="6D29FABB" w:rsidRPr="1BE1691D">
        <w:rPr>
          <w:rFonts w:ascii="Verdana" w:hAnsi="Verdana"/>
        </w:rPr>
        <w:t xml:space="preserve">e </w:t>
      </w:r>
      <w:r w:rsidR="57287446" w:rsidRPr="1BE1691D">
        <w:rPr>
          <w:rFonts w:ascii="Verdana" w:hAnsi="Verdana"/>
        </w:rPr>
        <w:t xml:space="preserve">nachvollziehbare </w:t>
      </w:r>
      <w:r w:rsidR="6D29FABB" w:rsidRPr="1BE1691D">
        <w:rPr>
          <w:rFonts w:ascii="Verdana" w:hAnsi="Verdana"/>
        </w:rPr>
        <w:t xml:space="preserve">Struktur </w:t>
      </w:r>
      <w:r w:rsidR="1E4EF4E5" w:rsidRPr="1BE1691D">
        <w:rPr>
          <w:rFonts w:ascii="Verdana" w:hAnsi="Verdana"/>
        </w:rPr>
        <w:t>ist essenziell</w:t>
      </w:r>
      <w:r w:rsidR="6D29FABB" w:rsidRPr="1BE1691D">
        <w:rPr>
          <w:rFonts w:ascii="Verdana" w:hAnsi="Verdana"/>
        </w:rPr>
        <w:t xml:space="preserve">. </w:t>
      </w:r>
      <w:r w:rsidR="4BE4E88E" w:rsidRPr="1BE1691D">
        <w:rPr>
          <w:rFonts w:ascii="Verdana" w:hAnsi="Verdana"/>
        </w:rPr>
        <w:t>V</w:t>
      </w:r>
      <w:r w:rsidR="7E02954C" w:rsidRPr="1BE1691D">
        <w:rPr>
          <w:rFonts w:ascii="Verdana" w:hAnsi="Verdana"/>
        </w:rPr>
        <w:t xml:space="preserve">erlinkungen müssen stimmen und auch als solche erkennbar sein. Feststehende Inhalte müssen so fixiert werden, dass diese von den Lernenden nicht verändert oder gar gelöscht werden können. </w:t>
      </w:r>
      <w:r w:rsidR="649160DC" w:rsidRPr="1BE1691D">
        <w:rPr>
          <w:rFonts w:ascii="Verdana" w:hAnsi="Verdana"/>
        </w:rPr>
        <w:t xml:space="preserve">Im Aufbau eines komplexen Boards steckt demnach sehr viel Zeit, Energie und Konzentration. </w:t>
      </w:r>
      <w:r w:rsidR="31E28754" w:rsidRPr="1BE1691D">
        <w:rPr>
          <w:rFonts w:ascii="Verdana" w:hAnsi="Verdana"/>
        </w:rPr>
        <w:t xml:space="preserve">Das sollte nicht unterschätzt werden. Jedoch kann ein Whiteboard auch nach und nach gestaltet werden, so dass nicht von Anfang an jede mögliche Hürde bedacht werden muss. </w:t>
      </w:r>
      <w:r w:rsidR="643E71DF" w:rsidRPr="1BE1691D">
        <w:rPr>
          <w:rFonts w:ascii="Verdana" w:hAnsi="Verdana"/>
        </w:rPr>
        <w:t>Beim</w:t>
      </w:r>
      <w:r w:rsidR="31E28754" w:rsidRPr="1BE1691D">
        <w:rPr>
          <w:rFonts w:ascii="Verdana" w:hAnsi="Verdana"/>
        </w:rPr>
        <w:t xml:space="preserve"> Aufbau e</w:t>
      </w:r>
      <w:r w:rsidR="1134F9ED" w:rsidRPr="1BE1691D">
        <w:rPr>
          <w:rFonts w:ascii="Verdana" w:hAnsi="Verdana"/>
        </w:rPr>
        <w:t xml:space="preserve">ines strukturierten </w:t>
      </w:r>
      <w:r w:rsidR="6AA50843" w:rsidRPr="1BE1691D">
        <w:rPr>
          <w:rFonts w:ascii="Verdana" w:hAnsi="Verdana"/>
        </w:rPr>
        <w:t>Whiteb</w:t>
      </w:r>
      <w:r w:rsidR="1134F9ED" w:rsidRPr="1BE1691D">
        <w:rPr>
          <w:rFonts w:ascii="Verdana" w:hAnsi="Verdana"/>
        </w:rPr>
        <w:t xml:space="preserve">oards für die Lernreise </w:t>
      </w:r>
      <w:r w:rsidR="2D8EA61D" w:rsidRPr="1BE1691D">
        <w:rPr>
          <w:rFonts w:ascii="Verdana" w:hAnsi="Verdana"/>
        </w:rPr>
        <w:t>lernt man selbst immer weiter dazu und entwickelt sich und das Board weiter.</w:t>
      </w:r>
    </w:p>
    <w:p w14:paraId="14A4008A" w14:textId="77777777" w:rsidR="00174FEB" w:rsidRDefault="00174FEB" w:rsidP="00174FEB">
      <w:pPr>
        <w:jc w:val="both"/>
        <w:rPr>
          <w:rFonts w:ascii="Verdana" w:hAnsi="Verdana"/>
        </w:rPr>
      </w:pPr>
    </w:p>
    <w:p w14:paraId="52E148EB" w14:textId="559D5CDE" w:rsidR="6D29FABB" w:rsidRDefault="6D29FABB" w:rsidP="00174FEB">
      <w:pPr>
        <w:jc w:val="both"/>
        <w:rPr>
          <w:rFonts w:ascii="Verdana" w:hAnsi="Verdana"/>
        </w:rPr>
      </w:pPr>
      <w:r w:rsidRPr="1BE1691D">
        <w:rPr>
          <w:rFonts w:ascii="Verdana" w:hAnsi="Verdana"/>
        </w:rPr>
        <w:t>Es ist wichtig, eine ausführliche Einführung in das Tool und die Struktur der Lernreise zu geben, damit sich alle Nutzer:innen gut zurechtfinden.</w:t>
      </w:r>
      <w:r w:rsidR="7D921ED2" w:rsidRPr="1BE1691D">
        <w:rPr>
          <w:rFonts w:ascii="Verdana" w:hAnsi="Verdana"/>
        </w:rPr>
        <w:t xml:space="preserve"> Auch das ist eine Herausforderung, </w:t>
      </w:r>
      <w:r w:rsidR="61040A20" w:rsidRPr="1BE1691D">
        <w:rPr>
          <w:rFonts w:ascii="Verdana" w:hAnsi="Verdana"/>
        </w:rPr>
        <w:t xml:space="preserve">die Zeit und Energie kostet, </w:t>
      </w:r>
      <w:r w:rsidR="7D921ED2" w:rsidRPr="1BE1691D">
        <w:rPr>
          <w:rFonts w:ascii="Verdana" w:hAnsi="Verdana"/>
        </w:rPr>
        <w:t xml:space="preserve">denn was einem selbst logisch erscheint, muss noch lange nicht für Andere nachvollziehbar sein. </w:t>
      </w:r>
      <w:r w:rsidR="00174FEB">
        <w:rPr>
          <w:rFonts w:ascii="Verdana" w:hAnsi="Verdana"/>
        </w:rPr>
        <w:t xml:space="preserve">Hier ist </w:t>
      </w:r>
      <w:r w:rsidR="373807BF" w:rsidRPr="1BE1691D">
        <w:rPr>
          <w:rFonts w:ascii="Verdana" w:hAnsi="Verdana"/>
        </w:rPr>
        <w:t xml:space="preserve">Geduld </w:t>
      </w:r>
      <w:r w:rsidR="00174FEB">
        <w:rPr>
          <w:rFonts w:ascii="Verdana" w:hAnsi="Verdana"/>
        </w:rPr>
        <w:t>gefragt</w:t>
      </w:r>
      <w:r w:rsidR="373807BF" w:rsidRPr="1BE1691D">
        <w:rPr>
          <w:rFonts w:ascii="Verdana" w:hAnsi="Verdana"/>
        </w:rPr>
        <w:t xml:space="preserve">. </w:t>
      </w:r>
      <w:r w:rsidR="260F85B6" w:rsidRPr="1BE1691D">
        <w:rPr>
          <w:rFonts w:ascii="Verdana" w:hAnsi="Verdana"/>
        </w:rPr>
        <w:t>Bestenfalls sind</w:t>
      </w:r>
      <w:r w:rsidR="373807BF" w:rsidRPr="1BE1691D">
        <w:rPr>
          <w:rFonts w:ascii="Verdana" w:hAnsi="Verdana"/>
        </w:rPr>
        <w:t xml:space="preserve"> kleinere Übun</w:t>
      </w:r>
      <w:r w:rsidR="373807BF" w:rsidRPr="1BE1691D">
        <w:rPr>
          <w:rFonts w:ascii="Verdana" w:hAnsi="Verdana"/>
        </w:rPr>
        <w:lastRenderedPageBreak/>
        <w:t xml:space="preserve">gen vorzubereiten, die von Teilnehmenden gelöst werden können, die schnell verstehen und sich intuitiv im Board zurechtfinden. So </w:t>
      </w:r>
      <w:r w:rsidR="7C536567" w:rsidRPr="1BE1691D">
        <w:rPr>
          <w:rFonts w:ascii="Verdana" w:hAnsi="Verdana"/>
        </w:rPr>
        <w:t>kann man sich in Ruhe um die Teilnehmenden kümmern, denen die Struktur und Nutzung nicht sofort klar ist.</w:t>
      </w:r>
      <w:r w:rsidRPr="1BE1691D">
        <w:rPr>
          <w:rFonts w:ascii="Verdana" w:hAnsi="Verdana"/>
        </w:rPr>
        <w:t xml:space="preserve"> </w:t>
      </w:r>
      <w:r w:rsidR="202D2174" w:rsidRPr="1BE1691D">
        <w:rPr>
          <w:rFonts w:ascii="Verdana" w:hAnsi="Verdana"/>
        </w:rPr>
        <w:t xml:space="preserve">Anfänglich werden vermutlich einige Schwierigkeiten auftreten, deshalb empfehlen wir gerade für die Einführung ins Board bestenfalls kein hybrides Setting </w:t>
      </w:r>
      <w:r w:rsidR="112DF131" w:rsidRPr="1BE1691D">
        <w:rPr>
          <w:rFonts w:ascii="Verdana" w:hAnsi="Verdana"/>
        </w:rPr>
        <w:t>zu wähl</w:t>
      </w:r>
      <w:r w:rsidR="202D2174" w:rsidRPr="1BE1691D">
        <w:rPr>
          <w:rFonts w:ascii="Verdana" w:hAnsi="Verdana"/>
        </w:rPr>
        <w:t xml:space="preserve">en, da es hier darauf ankommt, alle gleichermaßen zu erreichen.  </w:t>
      </w:r>
    </w:p>
    <w:p w14:paraId="10F753C1" w14:textId="45EA5FD6" w:rsidR="202D2174" w:rsidRPr="00174FEB" w:rsidRDefault="202D2174" w:rsidP="1BE1691D">
      <w:pPr>
        <w:spacing w:before="240" w:after="120" w:line="259" w:lineRule="auto"/>
        <w:jc w:val="both"/>
        <w:rPr>
          <w:rFonts w:ascii="Verdana" w:hAnsi="Verdana"/>
          <w:i/>
          <w:iCs/>
        </w:rPr>
      </w:pPr>
      <w:r w:rsidRPr="00174FEB">
        <w:rPr>
          <w:rFonts w:ascii="Verdana" w:hAnsi="Verdana"/>
          <w:i/>
          <w:iCs/>
        </w:rPr>
        <w:t>Tipp:</w:t>
      </w:r>
    </w:p>
    <w:p w14:paraId="4361FBA6" w14:textId="5E358190" w:rsidR="202D2174" w:rsidRDefault="202D2174" w:rsidP="00C14DB3">
      <w:pPr>
        <w:jc w:val="both"/>
        <w:rPr>
          <w:rFonts w:ascii="Verdana" w:hAnsi="Verdana"/>
        </w:rPr>
      </w:pPr>
      <w:r w:rsidRPr="1BE1691D">
        <w:rPr>
          <w:rFonts w:ascii="Verdana" w:hAnsi="Verdana"/>
        </w:rPr>
        <w:t xml:space="preserve">Finden Sie heraus, wer sich im Board direkt zurechtfindet und wer nicht. Bilden Sie gemischte peer-to-peer-Lerngruppen als erste Übung nach der Einführung, da sich Teilnehmende wohler fühlen, Verständnisfragen in kleinerem Kreis zu stellen. </w:t>
      </w:r>
    </w:p>
    <w:p w14:paraId="2C8D527A" w14:textId="77777777" w:rsidR="00521D5B" w:rsidRPr="00521D5B" w:rsidRDefault="00521D5B" w:rsidP="00521D5B">
      <w:pPr>
        <w:spacing w:before="240" w:after="120"/>
        <w:jc w:val="both"/>
        <w:rPr>
          <w:rFonts w:ascii="Verdana" w:hAnsi="Verdana"/>
          <w:b/>
        </w:rPr>
      </w:pPr>
      <w:r w:rsidRPr="00521D5B">
        <w:rPr>
          <w:rFonts w:ascii="Verdana" w:hAnsi="Verdana"/>
          <w:b/>
        </w:rPr>
        <w:t>DIUtalk – Wissen teilen</w:t>
      </w:r>
    </w:p>
    <w:p w14:paraId="44A1D48F" w14:textId="055659FB" w:rsidR="00521D5B" w:rsidRDefault="00521D5B" w:rsidP="00C14DB3">
      <w:pPr>
        <w:jc w:val="both"/>
        <w:rPr>
          <w:rFonts w:ascii="Verdana" w:hAnsi="Verdana"/>
        </w:rPr>
      </w:pPr>
      <w:r w:rsidRPr="2186CF47">
        <w:rPr>
          <w:rFonts w:ascii="Verdana" w:hAnsi="Verdana"/>
        </w:rPr>
        <w:t xml:space="preserve">Im DIUtalk deepdive haben wir die Whiteboards von MURAL und MIRO sowie die Pinnwand von </w:t>
      </w:r>
      <w:r>
        <w:rPr>
          <w:rFonts w:ascii="Verdana" w:hAnsi="Verdana"/>
        </w:rPr>
        <w:t>PADLET</w:t>
      </w:r>
      <w:r w:rsidRPr="2186CF47">
        <w:rPr>
          <w:rFonts w:ascii="Verdana" w:hAnsi="Verdana"/>
        </w:rPr>
        <w:t xml:space="preserve"> </w:t>
      </w:r>
      <w:r>
        <w:rPr>
          <w:rFonts w:ascii="Verdana" w:hAnsi="Verdana"/>
        </w:rPr>
        <w:t xml:space="preserve">mit den teilnehmenden Dozierenden der DIU </w:t>
      </w:r>
      <w:r w:rsidRPr="2186CF47">
        <w:rPr>
          <w:rFonts w:ascii="Verdana" w:hAnsi="Verdana"/>
        </w:rPr>
        <w:t xml:space="preserve">bereits genauer beleuchtet und bieten weiterhin regelmäßig </w:t>
      </w:r>
      <w:r>
        <w:rPr>
          <w:rFonts w:ascii="Verdana" w:hAnsi="Verdana"/>
        </w:rPr>
        <w:t xml:space="preserve">zweistündige </w:t>
      </w:r>
      <w:r w:rsidRPr="2186CF47">
        <w:rPr>
          <w:rFonts w:ascii="Verdana" w:hAnsi="Verdana"/>
        </w:rPr>
        <w:t>Workshops zu verschiedensten Tools an</w:t>
      </w:r>
      <w:r>
        <w:rPr>
          <w:rFonts w:ascii="Verdana" w:hAnsi="Verdana"/>
        </w:rPr>
        <w:t xml:space="preserve">. Darüber hinaus haben wir unseren 14tägigen DIUtalk um den DIUtalk Best Practices erweitert, in welchem die Dozierenden vorstellen, wie sie methodisch vorgehen und welche Tools sie zur Unterstützung verwenden. Wir haben eine </w:t>
      </w:r>
      <w:hyperlink r:id="rId16" w:history="1">
        <w:r w:rsidRPr="00CB4FEB">
          <w:rPr>
            <w:rStyle w:val="Hyperlink"/>
            <w:rFonts w:ascii="Verdana" w:hAnsi="Verdana"/>
          </w:rPr>
          <w:t>Community für Lehre und Lernen in LinkedIn</w:t>
        </w:r>
      </w:hyperlink>
      <w:r>
        <w:rPr>
          <w:rFonts w:ascii="Verdana" w:hAnsi="Verdana"/>
        </w:rPr>
        <w:t xml:space="preserve"> etabliert. </w:t>
      </w:r>
    </w:p>
    <w:p w14:paraId="0F643B4F" w14:textId="77777777" w:rsidR="00521D5B" w:rsidRDefault="00521D5B" w:rsidP="00C14DB3">
      <w:pPr>
        <w:jc w:val="both"/>
        <w:rPr>
          <w:rFonts w:ascii="Verdana" w:hAnsi="Verdana"/>
        </w:rPr>
      </w:pPr>
      <w:r>
        <w:rPr>
          <w:rFonts w:ascii="Verdana" w:hAnsi="Verdana"/>
        </w:rPr>
        <w:t>Seit September 2021 veröffentlichen wir darüber hinaus maximal fünfminütige Audio-Lernsnacks als prägnante Zusammenfassungen der DIUtalks und sammeln unsere Learnings im DIUtalk-Board (MIRO)</w:t>
      </w:r>
      <w:r w:rsidRPr="2186CF47">
        <w:rPr>
          <w:rFonts w:ascii="Verdana" w:hAnsi="Verdana"/>
        </w:rPr>
        <w:t>.</w:t>
      </w:r>
      <w:r>
        <w:rPr>
          <w:rFonts w:ascii="Verdana" w:hAnsi="Verdana"/>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tblGrid>
      <w:tr w:rsidR="00521D5B" w14:paraId="30BB3088" w14:textId="77777777" w:rsidTr="00814A78">
        <w:tc>
          <w:tcPr>
            <w:tcW w:w="4184" w:type="dxa"/>
          </w:tcPr>
          <w:p w14:paraId="1343F282" w14:textId="77777777" w:rsidR="00521D5B" w:rsidRDefault="00521D5B" w:rsidP="00814A78">
            <w:pPr>
              <w:spacing w:before="240" w:after="120"/>
              <w:jc w:val="both"/>
              <w:rPr>
                <w:rFonts w:ascii="Verdana" w:hAnsi="Verdana"/>
                <w:bCs/>
              </w:rPr>
            </w:pPr>
            <w:r>
              <w:rPr>
                <w:noProof/>
              </w:rPr>
              <w:drawing>
                <wp:inline distT="0" distB="0" distL="0" distR="0" wp14:anchorId="5A48F798" wp14:editId="7C69AA8B">
                  <wp:extent cx="2606258" cy="1308100"/>
                  <wp:effectExtent l="0" t="0" r="381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4887" cy="1317450"/>
                          </a:xfrm>
                          <a:prstGeom prst="rect">
                            <a:avLst/>
                          </a:prstGeom>
                        </pic:spPr>
                      </pic:pic>
                    </a:graphicData>
                  </a:graphic>
                </wp:inline>
              </w:drawing>
            </w:r>
          </w:p>
        </w:tc>
      </w:tr>
      <w:tr w:rsidR="00521D5B" w14:paraId="27BB5F6F" w14:textId="77777777" w:rsidTr="00814A78">
        <w:tc>
          <w:tcPr>
            <w:tcW w:w="4184" w:type="dxa"/>
          </w:tcPr>
          <w:p w14:paraId="184199F1" w14:textId="77777777" w:rsidR="00521D5B" w:rsidRDefault="00521D5B" w:rsidP="00814A78">
            <w:pPr>
              <w:spacing w:before="240" w:after="120"/>
              <w:jc w:val="both"/>
              <w:rPr>
                <w:rFonts w:ascii="Verdana" w:hAnsi="Verdana"/>
                <w:bCs/>
              </w:rPr>
            </w:pPr>
            <w:r w:rsidRPr="00122C9B">
              <w:rPr>
                <w:rFonts w:ascii="Verdana" w:hAnsi="Verdana"/>
                <w:i/>
                <w:sz w:val="18"/>
                <w:szCs w:val="18"/>
              </w:rPr>
              <w:t xml:space="preserve">Abb. </w:t>
            </w:r>
            <w:r>
              <w:rPr>
                <w:rFonts w:ascii="Verdana" w:hAnsi="Verdana"/>
                <w:i/>
                <w:sz w:val="18"/>
                <w:szCs w:val="18"/>
              </w:rPr>
              <w:t>5</w:t>
            </w:r>
            <w:r w:rsidRPr="00122C9B">
              <w:rPr>
                <w:rFonts w:ascii="Verdana" w:hAnsi="Verdana"/>
                <w:i/>
                <w:sz w:val="18"/>
                <w:szCs w:val="18"/>
              </w:rPr>
              <w:t xml:space="preserve">: </w:t>
            </w:r>
            <w:r>
              <w:rPr>
                <w:rFonts w:ascii="Verdana" w:hAnsi="Verdana"/>
                <w:i/>
                <w:sz w:val="18"/>
                <w:szCs w:val="18"/>
              </w:rPr>
              <w:t>#DIUtalk - die Community für Lehre und Lernen auf LinkedIn</w:t>
            </w:r>
          </w:p>
        </w:tc>
      </w:tr>
    </w:tbl>
    <w:p w14:paraId="3D43098A" w14:textId="1686A157" w:rsidR="002F073C" w:rsidRPr="00E50259" w:rsidRDefault="00521D5B" w:rsidP="002F073C">
      <w:pPr>
        <w:spacing w:before="240" w:after="120"/>
        <w:jc w:val="both"/>
        <w:rPr>
          <w:rFonts w:ascii="Verdana" w:hAnsi="Verdana"/>
          <w:b/>
        </w:rPr>
      </w:pPr>
      <w:r>
        <w:rPr>
          <w:rFonts w:ascii="Verdana" w:hAnsi="Verdana"/>
          <w:b/>
        </w:rPr>
        <w:t>F</w:t>
      </w:r>
      <w:r w:rsidR="002F073C">
        <w:rPr>
          <w:rFonts w:ascii="Verdana" w:hAnsi="Verdana"/>
          <w:b/>
        </w:rPr>
        <w:t>azit</w:t>
      </w:r>
    </w:p>
    <w:p w14:paraId="5AAA21E5" w14:textId="311B6E7D" w:rsidR="00C3581E" w:rsidRPr="00E50259" w:rsidRDefault="7D3F5777" w:rsidP="00C14DB3">
      <w:pPr>
        <w:pStyle w:val="Textkrper"/>
        <w:rPr>
          <w:rFonts w:ascii="Verdana" w:hAnsi="Verdana"/>
          <w:sz w:val="20"/>
        </w:rPr>
      </w:pPr>
      <w:r w:rsidRPr="1BE1691D">
        <w:rPr>
          <w:rFonts w:ascii="Verdana" w:hAnsi="Verdana"/>
          <w:sz w:val="20"/>
        </w:rPr>
        <w:t xml:space="preserve">Eine </w:t>
      </w:r>
      <w:r w:rsidR="032FF4D4" w:rsidRPr="1BE1691D">
        <w:rPr>
          <w:rFonts w:ascii="Verdana" w:hAnsi="Verdana"/>
          <w:sz w:val="20"/>
        </w:rPr>
        <w:t>Lernreise auf einem Whiteboard zu gestalten, ist zunächst mit hohem Aufwand verbunden. Durch die vielen Funktionalitäten</w:t>
      </w:r>
      <w:r w:rsidR="3F7F33F8" w:rsidRPr="1BE1691D">
        <w:rPr>
          <w:rFonts w:ascii="Verdana" w:hAnsi="Verdana"/>
          <w:sz w:val="20"/>
        </w:rPr>
        <w:t xml:space="preserve"> und Gestaltungsmöglichkeiten</w:t>
      </w:r>
      <w:r w:rsidR="032FF4D4" w:rsidRPr="1BE1691D">
        <w:rPr>
          <w:rFonts w:ascii="Verdana" w:hAnsi="Verdana"/>
          <w:sz w:val="20"/>
        </w:rPr>
        <w:t xml:space="preserve"> </w:t>
      </w:r>
      <w:r w:rsidR="400DA712" w:rsidRPr="1BE1691D">
        <w:rPr>
          <w:rFonts w:ascii="Verdana" w:hAnsi="Verdana"/>
          <w:sz w:val="20"/>
        </w:rPr>
        <w:t xml:space="preserve">ist es jedoch für alle Beteiligten sehr abwechslungsreich und </w:t>
      </w:r>
      <w:r w:rsidR="47DF133C" w:rsidRPr="1BE1691D">
        <w:rPr>
          <w:rFonts w:ascii="Verdana" w:hAnsi="Verdana"/>
          <w:sz w:val="20"/>
        </w:rPr>
        <w:t xml:space="preserve">förderlich für das Miteinander. </w:t>
      </w:r>
      <w:r w:rsidR="4E7E643B" w:rsidRPr="1BE1691D">
        <w:rPr>
          <w:rFonts w:ascii="Verdana" w:hAnsi="Verdana"/>
          <w:sz w:val="20"/>
        </w:rPr>
        <w:t>Es wird nicht</w:t>
      </w:r>
      <w:r w:rsidR="357DA645" w:rsidRPr="1BE1691D">
        <w:rPr>
          <w:rFonts w:ascii="Verdana" w:hAnsi="Verdana"/>
          <w:sz w:val="20"/>
        </w:rPr>
        <w:t xml:space="preserve"> ausschließlich synchron Wissen vermittel</w:t>
      </w:r>
      <w:r w:rsidR="1B36AF42" w:rsidRPr="1BE1691D">
        <w:rPr>
          <w:rFonts w:ascii="Verdana" w:hAnsi="Verdana"/>
          <w:sz w:val="20"/>
        </w:rPr>
        <w:t>t</w:t>
      </w:r>
      <w:r w:rsidR="357DA645" w:rsidRPr="1BE1691D">
        <w:rPr>
          <w:rFonts w:ascii="Verdana" w:hAnsi="Verdana"/>
          <w:sz w:val="20"/>
        </w:rPr>
        <w:t>,</w:t>
      </w:r>
      <w:r w:rsidR="0F67B623" w:rsidRPr="1BE1691D">
        <w:rPr>
          <w:rFonts w:ascii="Verdana" w:hAnsi="Verdana"/>
          <w:sz w:val="20"/>
        </w:rPr>
        <w:t xml:space="preserve"> sondern die</w:t>
      </w:r>
      <w:r w:rsidR="357DA645" w:rsidRPr="1BE1691D">
        <w:rPr>
          <w:rFonts w:ascii="Verdana" w:hAnsi="Verdana"/>
          <w:sz w:val="20"/>
        </w:rPr>
        <w:t xml:space="preserve"> Teilnehmenden </w:t>
      </w:r>
      <w:r w:rsidR="11A0871A" w:rsidRPr="1BE1691D">
        <w:rPr>
          <w:rFonts w:ascii="Verdana" w:hAnsi="Verdana"/>
          <w:sz w:val="20"/>
        </w:rPr>
        <w:t>üben sich im selbstorganisierten Lernen</w:t>
      </w:r>
      <w:r w:rsidR="00EFB83F" w:rsidRPr="1BE1691D">
        <w:rPr>
          <w:rFonts w:ascii="Verdana" w:hAnsi="Verdana"/>
          <w:sz w:val="20"/>
        </w:rPr>
        <w:t xml:space="preserve"> und</w:t>
      </w:r>
      <w:r w:rsidR="11A0871A" w:rsidRPr="1BE1691D">
        <w:rPr>
          <w:rFonts w:ascii="Verdana" w:hAnsi="Verdana"/>
          <w:sz w:val="20"/>
        </w:rPr>
        <w:t xml:space="preserve"> in der Kollaboration mit Anderen</w:t>
      </w:r>
      <w:r w:rsidR="7CE67410" w:rsidRPr="1BE1691D">
        <w:rPr>
          <w:rFonts w:ascii="Verdana" w:hAnsi="Verdana"/>
          <w:sz w:val="20"/>
        </w:rPr>
        <w:t>.</w:t>
      </w:r>
      <w:r w:rsidR="11A0871A" w:rsidRPr="1BE1691D">
        <w:rPr>
          <w:rFonts w:ascii="Verdana" w:hAnsi="Verdana"/>
          <w:sz w:val="20"/>
        </w:rPr>
        <w:t xml:space="preserve"> </w:t>
      </w:r>
      <w:r w:rsidR="141AEA1A" w:rsidRPr="1BE1691D">
        <w:rPr>
          <w:rFonts w:ascii="Verdana" w:hAnsi="Verdana"/>
          <w:sz w:val="20"/>
        </w:rPr>
        <w:t>A</w:t>
      </w:r>
      <w:r w:rsidR="11A0871A" w:rsidRPr="1BE1691D">
        <w:rPr>
          <w:rFonts w:ascii="Verdana" w:hAnsi="Verdana"/>
          <w:sz w:val="20"/>
        </w:rPr>
        <w:t xml:space="preserve">nsprechende Visualisierungen </w:t>
      </w:r>
      <w:r w:rsidR="6E402734" w:rsidRPr="1BE1691D">
        <w:rPr>
          <w:rFonts w:ascii="Verdana" w:hAnsi="Verdana"/>
          <w:sz w:val="20"/>
        </w:rPr>
        <w:t xml:space="preserve">fördern die eigene Kreativität. </w:t>
      </w:r>
      <w:r w:rsidR="4E14FB33" w:rsidRPr="1BE1691D">
        <w:rPr>
          <w:rFonts w:ascii="Verdana" w:hAnsi="Verdana"/>
          <w:sz w:val="20"/>
        </w:rPr>
        <w:t>Feste Termine helfen, die (Teil-)Ziele im Blick zu behalten.</w:t>
      </w:r>
    </w:p>
    <w:p w14:paraId="47C6334C" w14:textId="7E03C27E" w:rsidR="00C3581E" w:rsidRPr="00521D5B" w:rsidRDefault="0074151A" w:rsidP="00521D5B">
      <w:pPr>
        <w:spacing w:before="240" w:after="120"/>
        <w:jc w:val="both"/>
        <w:rPr>
          <w:rFonts w:ascii="Verdana" w:hAnsi="Verdana"/>
          <w:b/>
        </w:rPr>
      </w:pPr>
      <w:r w:rsidRPr="00521D5B">
        <w:rPr>
          <w:rFonts w:ascii="Verdana" w:hAnsi="Verdana"/>
          <w:b/>
        </w:rPr>
        <w:t>Danksagung</w:t>
      </w:r>
    </w:p>
    <w:p w14:paraId="1BF1C097" w14:textId="78766B42" w:rsidR="00122C9B" w:rsidRDefault="00122C9B" w:rsidP="1BE1691D">
      <w:pPr>
        <w:jc w:val="both"/>
        <w:rPr>
          <w:rFonts w:ascii="Verdana" w:hAnsi="Verdana"/>
        </w:rPr>
      </w:pPr>
      <w:r w:rsidRPr="1BE1691D">
        <w:rPr>
          <w:rFonts w:ascii="Verdana" w:hAnsi="Verdana"/>
        </w:rPr>
        <w:t xml:space="preserve">Mein persönlicher Dank geht an Andrea Sternberg, Carolin Fuchs, Judith Urbild und Lilian Gehrke-Vetterkind für das gemeinsame Sinnieren zu New Learning und das Texten und Gestalten unseres New-Learning-Guides, aus dem die Abbildungen 1–3 </w:t>
      </w:r>
      <w:r w:rsidR="00A24A5E" w:rsidRPr="1BE1691D">
        <w:rPr>
          <w:rFonts w:ascii="Verdana" w:hAnsi="Verdana"/>
        </w:rPr>
        <w:t xml:space="preserve">(Sketchnotes von Judith Urbild)  </w:t>
      </w:r>
      <w:r w:rsidRPr="1BE1691D">
        <w:rPr>
          <w:rFonts w:ascii="Verdana" w:hAnsi="Verdana"/>
        </w:rPr>
        <w:t xml:space="preserve">und einige Ideen dieses Abstracts stammen. Es war eine ganz wunderbare Erfahrung. </w:t>
      </w:r>
    </w:p>
    <w:p w14:paraId="71FDBF94" w14:textId="2EAB93AB" w:rsidR="00C14DB3" w:rsidRDefault="00C14DB3" w:rsidP="1BE1691D">
      <w:pPr>
        <w:jc w:val="both"/>
        <w:rPr>
          <w:rFonts w:ascii="Verdana" w:hAnsi="Verdana"/>
        </w:rPr>
      </w:pPr>
    </w:p>
    <w:p w14:paraId="074CC730" w14:textId="05993869" w:rsidR="00C14DB3" w:rsidRDefault="00C14DB3" w:rsidP="1BE1691D">
      <w:pPr>
        <w:jc w:val="both"/>
        <w:rPr>
          <w:rFonts w:ascii="Verdana" w:hAnsi="Verdana"/>
        </w:rPr>
      </w:pPr>
      <w:r>
        <w:rPr>
          <w:rFonts w:ascii="Verdana" w:hAnsi="Verdana"/>
        </w:rPr>
        <w:t>Zudem danke ich Jasper Hetmeier und Jana Müller-Tasler für die guten Impulse und notwendigen Korrekturen.</w:t>
      </w:r>
    </w:p>
    <w:p w14:paraId="44CF7D83" w14:textId="77777777" w:rsidR="00C3581E" w:rsidRPr="00E50259" w:rsidRDefault="0074151A" w:rsidP="009A5A83">
      <w:pPr>
        <w:spacing w:before="240" w:after="120"/>
        <w:jc w:val="both"/>
        <w:rPr>
          <w:rFonts w:ascii="Verdana" w:hAnsi="Verdana"/>
        </w:rPr>
      </w:pPr>
      <w:r w:rsidRPr="00E50259">
        <w:rPr>
          <w:rFonts w:ascii="Verdana" w:hAnsi="Verdana"/>
          <w:b/>
        </w:rPr>
        <w:t>Literatur</w:t>
      </w:r>
    </w:p>
    <w:p w14:paraId="4B77E470" w14:textId="437A3E25" w:rsidR="00A24A5E" w:rsidRDefault="00C3581E" w:rsidP="00A24A5E">
      <w:pPr>
        <w:pStyle w:val="Textkrper"/>
        <w:tabs>
          <w:tab w:val="left" w:pos="852"/>
        </w:tabs>
        <w:ind w:left="426" w:hanging="426"/>
        <w:rPr>
          <w:rFonts w:ascii="Verdana" w:hAnsi="Verdana"/>
          <w:sz w:val="16"/>
          <w:szCs w:val="16"/>
        </w:rPr>
      </w:pPr>
      <w:r w:rsidRPr="00E50259">
        <w:rPr>
          <w:rFonts w:ascii="Verdana" w:hAnsi="Verdana"/>
          <w:sz w:val="16"/>
          <w:szCs w:val="16"/>
        </w:rPr>
        <w:t xml:space="preserve">[1] </w:t>
      </w:r>
      <w:r w:rsidRPr="00E50259">
        <w:rPr>
          <w:rFonts w:ascii="Verdana" w:hAnsi="Verdana"/>
          <w:sz w:val="16"/>
          <w:szCs w:val="16"/>
        </w:rPr>
        <w:tab/>
      </w:r>
      <w:r w:rsidR="00A24A5E">
        <w:rPr>
          <w:rFonts w:ascii="Verdana" w:hAnsi="Verdana"/>
          <w:sz w:val="16"/>
          <w:szCs w:val="16"/>
        </w:rPr>
        <w:t>Sternberg, A., Fuchs, C., Urbild, J., Gehrke-Vetterkind, L., Richter, S. (2021), New Learning - dein Lern-Guide für individuelles Lernen</w:t>
      </w:r>
    </w:p>
    <w:sectPr w:rsidR="00A24A5E" w:rsidSect="00174FEB">
      <w:footnotePr>
        <w:pos w:val="beneathText"/>
      </w:footnotePr>
      <w:type w:val="continuous"/>
      <w:pgSz w:w="11905" w:h="16837"/>
      <w:pgMar w:top="1418" w:right="1418" w:bottom="1418" w:left="1418" w:header="720" w:footer="720" w:gutter="0"/>
      <w:cols w:num="2" w:space="6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754CA7"/>
    <w:multiLevelType w:val="hybridMultilevel"/>
    <w:tmpl w:val="EE4C86DE"/>
    <w:lvl w:ilvl="0" w:tplc="7D12AE7E">
      <w:start w:val="1"/>
      <w:numFmt w:val="bullet"/>
      <w:lvlText w:val="-"/>
      <w:lvlJc w:val="left"/>
      <w:pPr>
        <w:ind w:left="720" w:hanging="360"/>
      </w:pPr>
      <w:rPr>
        <w:rFonts w:ascii="Calibri" w:hAnsi="Calibri" w:hint="default"/>
      </w:rPr>
    </w:lvl>
    <w:lvl w:ilvl="1" w:tplc="B5F2834E">
      <w:start w:val="1"/>
      <w:numFmt w:val="bullet"/>
      <w:lvlText w:val="o"/>
      <w:lvlJc w:val="left"/>
      <w:pPr>
        <w:ind w:left="1440" w:hanging="360"/>
      </w:pPr>
      <w:rPr>
        <w:rFonts w:ascii="Courier New" w:hAnsi="Courier New" w:hint="default"/>
      </w:rPr>
    </w:lvl>
    <w:lvl w:ilvl="2" w:tplc="DD8E4868">
      <w:start w:val="1"/>
      <w:numFmt w:val="bullet"/>
      <w:lvlText w:val=""/>
      <w:lvlJc w:val="left"/>
      <w:pPr>
        <w:ind w:left="2160" w:hanging="360"/>
      </w:pPr>
      <w:rPr>
        <w:rFonts w:ascii="Wingdings" w:hAnsi="Wingdings" w:hint="default"/>
      </w:rPr>
    </w:lvl>
    <w:lvl w:ilvl="3" w:tplc="2F4A847C">
      <w:start w:val="1"/>
      <w:numFmt w:val="bullet"/>
      <w:lvlText w:val=""/>
      <w:lvlJc w:val="left"/>
      <w:pPr>
        <w:ind w:left="2880" w:hanging="360"/>
      </w:pPr>
      <w:rPr>
        <w:rFonts w:ascii="Symbol" w:hAnsi="Symbol" w:hint="default"/>
      </w:rPr>
    </w:lvl>
    <w:lvl w:ilvl="4" w:tplc="FE4E9CF8">
      <w:start w:val="1"/>
      <w:numFmt w:val="bullet"/>
      <w:lvlText w:val="o"/>
      <w:lvlJc w:val="left"/>
      <w:pPr>
        <w:ind w:left="3600" w:hanging="360"/>
      </w:pPr>
      <w:rPr>
        <w:rFonts w:ascii="Courier New" w:hAnsi="Courier New" w:hint="default"/>
      </w:rPr>
    </w:lvl>
    <w:lvl w:ilvl="5" w:tplc="76760502">
      <w:start w:val="1"/>
      <w:numFmt w:val="bullet"/>
      <w:lvlText w:val=""/>
      <w:lvlJc w:val="left"/>
      <w:pPr>
        <w:ind w:left="4320" w:hanging="360"/>
      </w:pPr>
      <w:rPr>
        <w:rFonts w:ascii="Wingdings" w:hAnsi="Wingdings" w:hint="default"/>
      </w:rPr>
    </w:lvl>
    <w:lvl w:ilvl="6" w:tplc="5E7C4A1C">
      <w:start w:val="1"/>
      <w:numFmt w:val="bullet"/>
      <w:lvlText w:val=""/>
      <w:lvlJc w:val="left"/>
      <w:pPr>
        <w:ind w:left="5040" w:hanging="360"/>
      </w:pPr>
      <w:rPr>
        <w:rFonts w:ascii="Symbol" w:hAnsi="Symbol" w:hint="default"/>
      </w:rPr>
    </w:lvl>
    <w:lvl w:ilvl="7" w:tplc="9EF6DA6C">
      <w:start w:val="1"/>
      <w:numFmt w:val="bullet"/>
      <w:lvlText w:val="o"/>
      <w:lvlJc w:val="left"/>
      <w:pPr>
        <w:ind w:left="5760" w:hanging="360"/>
      </w:pPr>
      <w:rPr>
        <w:rFonts w:ascii="Courier New" w:hAnsi="Courier New" w:hint="default"/>
      </w:rPr>
    </w:lvl>
    <w:lvl w:ilvl="8" w:tplc="1EF0237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FA"/>
    <w:rsid w:val="00021CCC"/>
    <w:rsid w:val="000262D2"/>
    <w:rsid w:val="00037270"/>
    <w:rsid w:val="00085698"/>
    <w:rsid w:val="000D36C9"/>
    <w:rsid w:val="00122C9B"/>
    <w:rsid w:val="001414DB"/>
    <w:rsid w:val="00170063"/>
    <w:rsid w:val="00174FEB"/>
    <w:rsid w:val="00180EF3"/>
    <w:rsid w:val="0018C167"/>
    <w:rsid w:val="0023342D"/>
    <w:rsid w:val="002F073C"/>
    <w:rsid w:val="002F7E9E"/>
    <w:rsid w:val="00300721"/>
    <w:rsid w:val="003471FA"/>
    <w:rsid w:val="003B3368"/>
    <w:rsid w:val="003C6907"/>
    <w:rsid w:val="00486022"/>
    <w:rsid w:val="004B7C48"/>
    <w:rsid w:val="00521D5B"/>
    <w:rsid w:val="00532FDB"/>
    <w:rsid w:val="005C63C4"/>
    <w:rsid w:val="005E0C94"/>
    <w:rsid w:val="005F68C7"/>
    <w:rsid w:val="00650C91"/>
    <w:rsid w:val="0074151A"/>
    <w:rsid w:val="0078327E"/>
    <w:rsid w:val="007956C6"/>
    <w:rsid w:val="007B7938"/>
    <w:rsid w:val="007F0070"/>
    <w:rsid w:val="008892AC"/>
    <w:rsid w:val="008A002F"/>
    <w:rsid w:val="008B144A"/>
    <w:rsid w:val="008F13A3"/>
    <w:rsid w:val="009A5A83"/>
    <w:rsid w:val="00A24A5E"/>
    <w:rsid w:val="00AE751D"/>
    <w:rsid w:val="00B31F8B"/>
    <w:rsid w:val="00B954C6"/>
    <w:rsid w:val="00BB6A9A"/>
    <w:rsid w:val="00BC5698"/>
    <w:rsid w:val="00BD4302"/>
    <w:rsid w:val="00C0464D"/>
    <w:rsid w:val="00C14DB3"/>
    <w:rsid w:val="00C162FB"/>
    <w:rsid w:val="00C3581E"/>
    <w:rsid w:val="00C7437A"/>
    <w:rsid w:val="00CA74A2"/>
    <w:rsid w:val="00CB3B26"/>
    <w:rsid w:val="00CB4FEB"/>
    <w:rsid w:val="00CC649D"/>
    <w:rsid w:val="00D77DCC"/>
    <w:rsid w:val="00D954C6"/>
    <w:rsid w:val="00DA3820"/>
    <w:rsid w:val="00DB4DCF"/>
    <w:rsid w:val="00DD2FB3"/>
    <w:rsid w:val="00DE04EA"/>
    <w:rsid w:val="00E50259"/>
    <w:rsid w:val="00E65A60"/>
    <w:rsid w:val="00ED0658"/>
    <w:rsid w:val="00EE5332"/>
    <w:rsid w:val="00EF6390"/>
    <w:rsid w:val="00EFB83F"/>
    <w:rsid w:val="00F27E23"/>
    <w:rsid w:val="00F507BF"/>
    <w:rsid w:val="00F54015"/>
    <w:rsid w:val="00FD12D9"/>
    <w:rsid w:val="00FF7B4F"/>
    <w:rsid w:val="014A04E5"/>
    <w:rsid w:val="023EDB8C"/>
    <w:rsid w:val="02648CBC"/>
    <w:rsid w:val="02D0503F"/>
    <w:rsid w:val="032FF4D4"/>
    <w:rsid w:val="0360B641"/>
    <w:rsid w:val="03B845E8"/>
    <w:rsid w:val="043CCD0C"/>
    <w:rsid w:val="0542DB72"/>
    <w:rsid w:val="054C7384"/>
    <w:rsid w:val="068CE4E6"/>
    <w:rsid w:val="07192681"/>
    <w:rsid w:val="07A234E4"/>
    <w:rsid w:val="08B4F6E2"/>
    <w:rsid w:val="08EF4F0B"/>
    <w:rsid w:val="09103E2F"/>
    <w:rsid w:val="0A2F74F2"/>
    <w:rsid w:val="0B215286"/>
    <w:rsid w:val="0B2B61D9"/>
    <w:rsid w:val="0B82BC3D"/>
    <w:rsid w:val="0BA63981"/>
    <w:rsid w:val="0BFC1E4A"/>
    <w:rsid w:val="0D0EA01E"/>
    <w:rsid w:val="0D6F3FA8"/>
    <w:rsid w:val="0D886805"/>
    <w:rsid w:val="0E08CB48"/>
    <w:rsid w:val="0F40A399"/>
    <w:rsid w:val="0F67B623"/>
    <w:rsid w:val="0FFED2FC"/>
    <w:rsid w:val="112DF131"/>
    <w:rsid w:val="1134F9ED"/>
    <w:rsid w:val="116028AF"/>
    <w:rsid w:val="11A0871A"/>
    <w:rsid w:val="131D4B61"/>
    <w:rsid w:val="13EFBC03"/>
    <w:rsid w:val="141AEA1A"/>
    <w:rsid w:val="14B0F1CE"/>
    <w:rsid w:val="159379EA"/>
    <w:rsid w:val="15F50D1C"/>
    <w:rsid w:val="162690D7"/>
    <w:rsid w:val="170DF7FA"/>
    <w:rsid w:val="17275CC5"/>
    <w:rsid w:val="17634470"/>
    <w:rsid w:val="17BC894A"/>
    <w:rsid w:val="1820CEB9"/>
    <w:rsid w:val="18E9F20A"/>
    <w:rsid w:val="19623F6F"/>
    <w:rsid w:val="196B3A94"/>
    <w:rsid w:val="198C8CE5"/>
    <w:rsid w:val="19A6F0D2"/>
    <w:rsid w:val="19BA533F"/>
    <w:rsid w:val="1A66EB0D"/>
    <w:rsid w:val="1AB0620D"/>
    <w:rsid w:val="1ADD4034"/>
    <w:rsid w:val="1B203352"/>
    <w:rsid w:val="1B36AF42"/>
    <w:rsid w:val="1B39DD8D"/>
    <w:rsid w:val="1B97D759"/>
    <w:rsid w:val="1BE1691D"/>
    <w:rsid w:val="1C02BB6E"/>
    <w:rsid w:val="1C8B6D06"/>
    <w:rsid w:val="1C90C6F7"/>
    <w:rsid w:val="1D6F7388"/>
    <w:rsid w:val="1DC92B71"/>
    <w:rsid w:val="1E4EF4E5"/>
    <w:rsid w:val="1E6E416A"/>
    <w:rsid w:val="1F3A5C30"/>
    <w:rsid w:val="202D2174"/>
    <w:rsid w:val="20EB4B14"/>
    <w:rsid w:val="217A3B9B"/>
    <w:rsid w:val="2186CF47"/>
    <w:rsid w:val="23838B18"/>
    <w:rsid w:val="23A7DED5"/>
    <w:rsid w:val="245907D7"/>
    <w:rsid w:val="24843CB0"/>
    <w:rsid w:val="24CF3F8C"/>
    <w:rsid w:val="25073F47"/>
    <w:rsid w:val="260F85B6"/>
    <w:rsid w:val="26E6A6D5"/>
    <w:rsid w:val="28349D77"/>
    <w:rsid w:val="2836A6AD"/>
    <w:rsid w:val="299A86BB"/>
    <w:rsid w:val="29A2B0AF"/>
    <w:rsid w:val="2B1D2EBF"/>
    <w:rsid w:val="2BDDCDE0"/>
    <w:rsid w:val="2CC90B17"/>
    <w:rsid w:val="2D8EA61D"/>
    <w:rsid w:val="2D921ABE"/>
    <w:rsid w:val="2D9B873C"/>
    <w:rsid w:val="2E697D7D"/>
    <w:rsid w:val="2E6DF7DE"/>
    <w:rsid w:val="2ECAE83A"/>
    <w:rsid w:val="2FEE3100"/>
    <w:rsid w:val="2FF09FE2"/>
    <w:rsid w:val="30749190"/>
    <w:rsid w:val="30D327FE"/>
    <w:rsid w:val="31D48778"/>
    <w:rsid w:val="31E28754"/>
    <w:rsid w:val="32407A77"/>
    <w:rsid w:val="334992F5"/>
    <w:rsid w:val="34811DE7"/>
    <w:rsid w:val="355A9C3A"/>
    <w:rsid w:val="357DA645"/>
    <w:rsid w:val="36112604"/>
    <w:rsid w:val="368133B7"/>
    <w:rsid w:val="373807BF"/>
    <w:rsid w:val="37ABEA3A"/>
    <w:rsid w:val="3810D1D7"/>
    <w:rsid w:val="3824F19E"/>
    <w:rsid w:val="38255FD3"/>
    <w:rsid w:val="3847674C"/>
    <w:rsid w:val="396C0E58"/>
    <w:rsid w:val="39D1FCD6"/>
    <w:rsid w:val="3A5793C9"/>
    <w:rsid w:val="3A7A0A44"/>
    <w:rsid w:val="3AA285F6"/>
    <w:rsid w:val="3B54A4DA"/>
    <w:rsid w:val="3CBB5DC8"/>
    <w:rsid w:val="3CD71070"/>
    <w:rsid w:val="3D3156D0"/>
    <w:rsid w:val="3DB1AB06"/>
    <w:rsid w:val="3DCAD363"/>
    <w:rsid w:val="3E1B2BBE"/>
    <w:rsid w:val="3EA014A5"/>
    <w:rsid w:val="3EEF7A6F"/>
    <w:rsid w:val="3F719365"/>
    <w:rsid w:val="3F7F33F8"/>
    <w:rsid w:val="400DA712"/>
    <w:rsid w:val="404260A1"/>
    <w:rsid w:val="415776FB"/>
    <w:rsid w:val="41C3E65E"/>
    <w:rsid w:val="429D3CA5"/>
    <w:rsid w:val="42A66E7A"/>
    <w:rsid w:val="4356696E"/>
    <w:rsid w:val="43CA43A2"/>
    <w:rsid w:val="45925CF4"/>
    <w:rsid w:val="45BCBCEB"/>
    <w:rsid w:val="47DF133C"/>
    <w:rsid w:val="4806F35A"/>
    <w:rsid w:val="4819C317"/>
    <w:rsid w:val="48FD4FB2"/>
    <w:rsid w:val="49D6E5C9"/>
    <w:rsid w:val="4A50BEBB"/>
    <w:rsid w:val="4AB14520"/>
    <w:rsid w:val="4AB1805F"/>
    <w:rsid w:val="4BA09D50"/>
    <w:rsid w:val="4BBC2D2A"/>
    <w:rsid w:val="4BE4E88E"/>
    <w:rsid w:val="4C4526CC"/>
    <w:rsid w:val="4C4D50C0"/>
    <w:rsid w:val="4D1CF068"/>
    <w:rsid w:val="4DE588CA"/>
    <w:rsid w:val="4E14FB33"/>
    <w:rsid w:val="4E69BAEC"/>
    <w:rsid w:val="4E7E643B"/>
    <w:rsid w:val="4EA26966"/>
    <w:rsid w:val="4F3A8828"/>
    <w:rsid w:val="4F639F31"/>
    <w:rsid w:val="5195E991"/>
    <w:rsid w:val="52433989"/>
    <w:rsid w:val="53871560"/>
    <w:rsid w:val="53E0425D"/>
    <w:rsid w:val="54BB0202"/>
    <w:rsid w:val="54D05150"/>
    <w:rsid w:val="554CCDAF"/>
    <w:rsid w:val="5718082E"/>
    <w:rsid w:val="57287446"/>
    <w:rsid w:val="57E93AAC"/>
    <w:rsid w:val="588A831F"/>
    <w:rsid w:val="5923A9D4"/>
    <w:rsid w:val="59C28AED"/>
    <w:rsid w:val="5AFE97B9"/>
    <w:rsid w:val="5B13AAB7"/>
    <w:rsid w:val="5B80EC6E"/>
    <w:rsid w:val="5C824BE8"/>
    <w:rsid w:val="5D1CBCCF"/>
    <w:rsid w:val="5EAFB173"/>
    <w:rsid w:val="5FA927C4"/>
    <w:rsid w:val="607686A3"/>
    <w:rsid w:val="61004147"/>
    <w:rsid w:val="61040A20"/>
    <w:rsid w:val="614EEEDC"/>
    <w:rsid w:val="62D55669"/>
    <w:rsid w:val="62E3F0E5"/>
    <w:rsid w:val="639735B2"/>
    <w:rsid w:val="643E71DF"/>
    <w:rsid w:val="649160DC"/>
    <w:rsid w:val="6567F863"/>
    <w:rsid w:val="66D2524A"/>
    <w:rsid w:val="67350D53"/>
    <w:rsid w:val="678CFED4"/>
    <w:rsid w:val="683DF7A1"/>
    <w:rsid w:val="69150A5A"/>
    <w:rsid w:val="69FB3FD7"/>
    <w:rsid w:val="6A0CBA09"/>
    <w:rsid w:val="6AA50843"/>
    <w:rsid w:val="6ADDC7F3"/>
    <w:rsid w:val="6B9C9601"/>
    <w:rsid w:val="6BC0500F"/>
    <w:rsid w:val="6CBBE6EA"/>
    <w:rsid w:val="6D29FABB"/>
    <w:rsid w:val="6DAE2CDD"/>
    <w:rsid w:val="6E402734"/>
    <w:rsid w:val="6E780812"/>
    <w:rsid w:val="6ED69E80"/>
    <w:rsid w:val="6EF0034B"/>
    <w:rsid w:val="7064627A"/>
    <w:rsid w:val="7133E11A"/>
    <w:rsid w:val="723232EA"/>
    <w:rsid w:val="725FA3C8"/>
    <w:rsid w:val="73AC926E"/>
    <w:rsid w:val="78759340"/>
    <w:rsid w:val="78B5BCEF"/>
    <w:rsid w:val="79581B5C"/>
    <w:rsid w:val="7981E354"/>
    <w:rsid w:val="79C88711"/>
    <w:rsid w:val="7A7E6B77"/>
    <w:rsid w:val="7B451E25"/>
    <w:rsid w:val="7BD63C01"/>
    <w:rsid w:val="7C222242"/>
    <w:rsid w:val="7C536567"/>
    <w:rsid w:val="7C6ABC6C"/>
    <w:rsid w:val="7CE67410"/>
    <w:rsid w:val="7D3F5777"/>
    <w:rsid w:val="7D72443A"/>
    <w:rsid w:val="7D911B98"/>
    <w:rsid w:val="7D921ED2"/>
    <w:rsid w:val="7E02954C"/>
    <w:rsid w:val="7E9353DE"/>
    <w:rsid w:val="7F026AA6"/>
    <w:rsid w:val="7F5683B8"/>
    <w:rsid w:val="7FC75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3387"/>
  <w15:chartTrackingRefBased/>
  <w15:docId w15:val="{28850D12-0045-40E3-A4F8-7BC8F4A2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ar-SA"/>
    </w:rPr>
  </w:style>
  <w:style w:type="paragraph" w:styleId="berschrift1">
    <w:name w:val="heading 1"/>
    <w:basedOn w:val="Standard"/>
    <w:next w:val="Standard"/>
    <w:qFormat/>
    <w:pPr>
      <w:keepNext/>
      <w:numPr>
        <w:numId w:val="2"/>
      </w:numPr>
      <w:jc w:val="center"/>
      <w:outlineLvl w:val="0"/>
    </w:pPr>
    <w:rPr>
      <w:sz w:val="28"/>
      <w:lang w:val="en-US"/>
    </w:rPr>
  </w:style>
  <w:style w:type="paragraph" w:styleId="berschrift2">
    <w:name w:val="heading 2"/>
    <w:basedOn w:val="Standard"/>
    <w:next w:val="Standard"/>
    <w:qFormat/>
    <w:pPr>
      <w:keepNext/>
      <w:numPr>
        <w:ilvl w:val="1"/>
        <w:numId w:val="2"/>
      </w:numPr>
      <w:tabs>
        <w:tab w:val="left" w:pos="2127"/>
        <w:tab w:val="left" w:pos="3119"/>
      </w:tabs>
      <w:jc w:val="both"/>
      <w:outlineLvl w:val="1"/>
    </w:pPr>
    <w:rPr>
      <w:sz w:val="24"/>
    </w:rPr>
  </w:style>
  <w:style w:type="paragraph" w:styleId="berschrift3">
    <w:name w:val="heading 3"/>
    <w:basedOn w:val="Standard"/>
    <w:next w:val="Standard"/>
    <w:qFormat/>
    <w:pPr>
      <w:keepNext/>
      <w:numPr>
        <w:ilvl w:val="2"/>
        <w:numId w:val="2"/>
      </w:numPr>
      <w:outlineLvl w:val="2"/>
    </w:pPr>
    <w:rPr>
      <w:sz w:val="24"/>
    </w:rPr>
  </w:style>
  <w:style w:type="paragraph" w:styleId="berschrift4">
    <w:name w:val="heading 4"/>
    <w:basedOn w:val="Standard"/>
    <w:next w:val="Standard"/>
    <w:qFormat/>
    <w:pPr>
      <w:keepNext/>
      <w:numPr>
        <w:ilvl w:val="3"/>
        <w:numId w:val="2"/>
      </w:numPr>
      <w:outlineLvl w:val="3"/>
    </w:pPr>
    <w:rPr>
      <w:b/>
      <w:sz w:val="24"/>
    </w:rPr>
  </w:style>
  <w:style w:type="paragraph" w:styleId="berschrift5">
    <w:name w:val="heading 5"/>
    <w:basedOn w:val="Standard"/>
    <w:next w:val="Standard"/>
    <w:qFormat/>
    <w:pPr>
      <w:keepNext/>
      <w:numPr>
        <w:ilvl w:val="4"/>
        <w:numId w:val="2"/>
      </w:numPr>
      <w:jc w:val="both"/>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Heading">
    <w:name w:val="Heading"/>
    <w:basedOn w:val="Standard"/>
    <w:next w:val="Textkrper"/>
    <w:pPr>
      <w:keepNext/>
      <w:spacing w:before="240" w:after="120"/>
    </w:pPr>
    <w:rPr>
      <w:rFonts w:ascii="Arial" w:eastAsia="Bitstream Vera Sans" w:hAnsi="Arial" w:cs="Tahoma"/>
      <w:sz w:val="28"/>
      <w:szCs w:val="28"/>
    </w:rPr>
  </w:style>
  <w:style w:type="paragraph" w:styleId="Textkrper">
    <w:name w:val="Body Text"/>
    <w:basedOn w:val="Standard"/>
    <w:pPr>
      <w:jc w:val="both"/>
    </w:pPr>
    <w:rPr>
      <w:sz w:val="24"/>
    </w:r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Dokumentstruktur">
    <w:name w:val="Document Map"/>
    <w:basedOn w:val="Standard"/>
    <w:semiHidden/>
    <w:rsid w:val="003471FA"/>
    <w:pPr>
      <w:shd w:val="clear" w:color="auto" w:fill="000080"/>
    </w:pPr>
    <w:rPr>
      <w:rFonts w:ascii="Tahoma" w:hAnsi="Tahoma" w:cs="Tahoma"/>
    </w:rPr>
  </w:style>
  <w:style w:type="table" w:styleId="Tabellenraster">
    <w:name w:val="Table Grid"/>
    <w:basedOn w:val="NormaleTabelle"/>
    <w:rsid w:val="0074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B7C48"/>
    <w:rPr>
      <w:color w:val="0563C1" w:themeColor="hyperlink"/>
      <w:u w:val="single"/>
    </w:rPr>
  </w:style>
  <w:style w:type="character" w:styleId="NichtaufgelsteErwhnung">
    <w:name w:val="Unresolved Mention"/>
    <w:basedOn w:val="Absatz-Standardschriftart"/>
    <w:uiPriority w:val="99"/>
    <w:semiHidden/>
    <w:unhideWhenUsed/>
    <w:rsid w:val="004B7C48"/>
    <w:rPr>
      <w:color w:val="605E5C"/>
      <w:shd w:val="clear" w:color="auto" w:fill="E1DFDD"/>
    </w:rPr>
  </w:style>
  <w:style w:type="character" w:styleId="Kommentarzeichen">
    <w:name w:val="annotation reference"/>
    <w:basedOn w:val="Absatz-Standardschriftart"/>
    <w:rsid w:val="003B3368"/>
    <w:rPr>
      <w:sz w:val="16"/>
      <w:szCs w:val="16"/>
    </w:rPr>
  </w:style>
  <w:style w:type="paragraph" w:styleId="Kommentartext">
    <w:name w:val="annotation text"/>
    <w:basedOn w:val="Standard"/>
    <w:link w:val="KommentartextZchn"/>
    <w:rsid w:val="003B3368"/>
  </w:style>
  <w:style w:type="character" w:customStyle="1" w:styleId="KommentartextZchn">
    <w:name w:val="Kommentartext Zchn"/>
    <w:basedOn w:val="Absatz-Standardschriftart"/>
    <w:link w:val="Kommentartext"/>
    <w:rsid w:val="003B3368"/>
    <w:rPr>
      <w:lang w:eastAsia="ar-SA"/>
    </w:rPr>
  </w:style>
  <w:style w:type="paragraph" w:styleId="Kommentarthema">
    <w:name w:val="annotation subject"/>
    <w:basedOn w:val="Kommentartext"/>
    <w:next w:val="Kommentartext"/>
    <w:link w:val="KommentarthemaZchn"/>
    <w:semiHidden/>
    <w:unhideWhenUsed/>
    <w:rsid w:val="003B3368"/>
    <w:rPr>
      <w:b/>
      <w:bCs/>
    </w:rPr>
  </w:style>
  <w:style w:type="character" w:customStyle="1" w:styleId="KommentarthemaZchn">
    <w:name w:val="Kommentarthema Zchn"/>
    <w:basedOn w:val="KommentartextZchn"/>
    <w:link w:val="Kommentarthema"/>
    <w:semiHidden/>
    <w:rsid w:val="003B336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ro.com/education-whiteboar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linkedin.com/groups/124763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tscheck.in/" TargetMode="External"/><Relationship Id="rId14" Type="http://schemas.openxmlformats.org/officeDocument/2006/relationships/hyperlink" Target="https://www.mural.co/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AEF9BF0AA0C44393D717486312ACDC" ma:contentTypeVersion="12" ma:contentTypeDescription="Ein neues Dokument erstellen." ma:contentTypeScope="" ma:versionID="01248b64262eecbb82fbc5708d487e30">
  <xsd:schema xmlns:xsd="http://www.w3.org/2001/XMLSchema" xmlns:xs="http://www.w3.org/2001/XMLSchema" xmlns:p="http://schemas.microsoft.com/office/2006/metadata/properties" xmlns:ns2="db4424ad-f3b5-428a-a40e-e57248de2e94" xmlns:ns3="93a699ac-1f3f-4adc-8890-848638b92e74" targetNamespace="http://schemas.microsoft.com/office/2006/metadata/properties" ma:root="true" ma:fieldsID="72d654ee135e9e456768a0ba3d5b8dc8" ns2:_="" ns3:_="">
    <xsd:import namespace="db4424ad-f3b5-428a-a40e-e57248de2e94"/>
    <xsd:import namespace="93a699ac-1f3f-4adc-8890-848638b92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424ad-f3b5-428a-a40e-e57248de2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699ac-1f3f-4adc-8890-848638b92e7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a699ac-1f3f-4adc-8890-848638b92e74">
      <UserInfo>
        <DisplayName>Mitglieder von DIU-Projekte</DisplayName>
        <AccountId>8</AccountId>
        <AccountType/>
      </UserInfo>
    </SharedWithUsers>
  </documentManagement>
</p:properties>
</file>

<file path=customXml/itemProps1.xml><?xml version="1.0" encoding="utf-8"?>
<ds:datastoreItem xmlns:ds="http://schemas.openxmlformats.org/officeDocument/2006/customXml" ds:itemID="{55768E38-D17C-4362-A3B3-ACCB145EBCB0}">
  <ds:schemaRefs>
    <ds:schemaRef ds:uri="http://schemas.microsoft.com/sharepoint/v3/contenttype/forms"/>
  </ds:schemaRefs>
</ds:datastoreItem>
</file>

<file path=customXml/itemProps2.xml><?xml version="1.0" encoding="utf-8"?>
<ds:datastoreItem xmlns:ds="http://schemas.openxmlformats.org/officeDocument/2006/customXml" ds:itemID="{E7D448AC-7BC2-444A-9435-5E116108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424ad-f3b5-428a-a40e-e57248de2e94"/>
    <ds:schemaRef ds:uri="93a699ac-1f3f-4adc-8890-848638b92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41B2F-F35F-41F2-B4B2-33293A5BE080}">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3a699ac-1f3f-4adc-8890-848638b92e74"/>
    <ds:schemaRef ds:uri="db4424ad-f3b5-428a-a40e-e57248de2e9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12821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Template für Abstracts zum 3</vt:lpstr>
    </vt:vector>
  </TitlesOfParts>
  <Company>ISM</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für Abstracts zum 3</dc:title>
  <dc:subject/>
  <dc:creator>odenbach</dc:creator>
  <cp:keywords/>
  <cp:lastModifiedBy>Richter, Sandra</cp:lastModifiedBy>
  <cp:revision>5</cp:revision>
  <cp:lastPrinted>1899-12-31T23:00:00Z</cp:lastPrinted>
  <dcterms:created xsi:type="dcterms:W3CDTF">2021-09-03T15:07:00Z</dcterms:created>
  <dcterms:modified xsi:type="dcterms:W3CDTF">2021-09-11T09:49:00Z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0x01010000AEF9BF0AA0C44393D717486312ACDC</vt:lpwstr>
  </property>
</Properties>
</file>