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E57E" w14:textId="34316D38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6E4080">
        <w:rPr>
          <w:b w:val="0"/>
          <w:bCs/>
          <w:lang w:val="de-DE"/>
        </w:rPr>
        <w:t>Arbeitsblatt zum Schalenmodell</w:t>
      </w:r>
    </w:p>
    <w:p w14:paraId="0A55E220" w14:textId="77777777" w:rsidR="002734F1" w:rsidRPr="002734F1" w:rsidRDefault="002734F1" w:rsidP="002734F1">
      <w:pPr>
        <w:pStyle w:val="KeinLeerraum"/>
        <w:rPr>
          <w:lang w:val="de-DE"/>
        </w:rPr>
      </w:pPr>
    </w:p>
    <w:p w14:paraId="1BD0A6D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8"/>
        <w:gridCol w:w="6658"/>
      </w:tblGrid>
      <w:tr w:rsidR="00580FA9" w:rsidRPr="00DA6BC7" w14:paraId="1CD7DE37" w14:textId="77777777" w:rsidTr="005A0398">
        <w:tc>
          <w:tcPr>
            <w:tcW w:w="2689" w:type="dxa"/>
            <w:vAlign w:val="center"/>
          </w:tcPr>
          <w:p w14:paraId="2E9C5474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3E60A648" w14:textId="7B5C0A0B" w:rsidR="00580FA9" w:rsidRPr="007B7CCA" w:rsidRDefault="006E408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Chemie</w:t>
            </w:r>
          </w:p>
        </w:tc>
      </w:tr>
      <w:tr w:rsidR="00580FA9" w:rsidRPr="00DA6BC7" w14:paraId="1DEE780D" w14:textId="77777777" w:rsidTr="005A0398">
        <w:tc>
          <w:tcPr>
            <w:tcW w:w="2689" w:type="dxa"/>
            <w:vAlign w:val="center"/>
          </w:tcPr>
          <w:p w14:paraId="2074B774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38AE9DF4" w14:textId="708BFFB3" w:rsidR="00580FA9" w:rsidRPr="007B7CCA" w:rsidRDefault="00C806D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Übungen zum Schalenmodell</w:t>
            </w:r>
          </w:p>
        </w:tc>
      </w:tr>
      <w:tr w:rsidR="00580FA9" w:rsidRPr="00DA6BC7" w14:paraId="719DB15E" w14:textId="77777777" w:rsidTr="005A0398">
        <w:tc>
          <w:tcPr>
            <w:tcW w:w="2689" w:type="dxa"/>
            <w:vAlign w:val="center"/>
          </w:tcPr>
          <w:p w14:paraId="60805F7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37DB42C8" w14:textId="23C82BB0" w:rsidR="00580FA9" w:rsidRPr="007B7CCA" w:rsidRDefault="006E408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Gymnasium Klassenstufe 8</w:t>
            </w:r>
          </w:p>
        </w:tc>
      </w:tr>
      <w:tr w:rsidR="00580FA9" w:rsidRPr="002734F1" w14:paraId="2CC908AE" w14:textId="77777777" w:rsidTr="005A0398">
        <w:tc>
          <w:tcPr>
            <w:tcW w:w="2689" w:type="dxa"/>
            <w:vAlign w:val="center"/>
          </w:tcPr>
          <w:p w14:paraId="49AA64A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28E3232C" w14:textId="57A30F17" w:rsidR="00580FA9" w:rsidRPr="007B7CCA" w:rsidRDefault="006E408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6E4080">
              <w:rPr>
                <w:rFonts w:cs="Arial"/>
                <w:iCs/>
                <w:szCs w:val="22"/>
                <w:lang w:val="de-DE"/>
              </w:rPr>
              <w:t>Lernbereich 2: Wasser – eine chemische Verbindung</w:t>
            </w:r>
          </w:p>
        </w:tc>
      </w:tr>
      <w:tr w:rsidR="00580FA9" w:rsidRPr="002734F1" w14:paraId="610678BC" w14:textId="77777777" w:rsidTr="005A0398">
        <w:tc>
          <w:tcPr>
            <w:tcW w:w="2689" w:type="dxa"/>
            <w:vAlign w:val="center"/>
          </w:tcPr>
          <w:p w14:paraId="375ECFC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4B56EE72" w14:textId="6BFF96BF" w:rsidR="00580FA9" w:rsidRPr="007B7CCA" w:rsidRDefault="006E408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Mitte des Lernbereichs, nachdem die Struktur und chemische Bindung von Wasser  </w:t>
            </w:r>
          </w:p>
        </w:tc>
      </w:tr>
      <w:tr w:rsidR="00580FA9" w:rsidRPr="002734F1" w14:paraId="147C7298" w14:textId="77777777" w:rsidTr="005A0398">
        <w:tc>
          <w:tcPr>
            <w:tcW w:w="2689" w:type="dxa"/>
            <w:vAlign w:val="center"/>
          </w:tcPr>
          <w:p w14:paraId="50529EA9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0C9D957C" w14:textId="18F2D240" w:rsidR="00580FA9" w:rsidRPr="007B7CCA" w:rsidRDefault="006E4080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Festigungsphase zur Überprüfung </w:t>
            </w:r>
            <w:r w:rsidR="00C806D3">
              <w:rPr>
                <w:rFonts w:cs="Arial"/>
                <w:iCs/>
                <w:szCs w:val="22"/>
                <w:lang w:val="de-DE"/>
              </w:rPr>
              <w:t>des Verständnisses</w:t>
            </w:r>
          </w:p>
        </w:tc>
      </w:tr>
      <w:tr w:rsidR="00554D6B" w:rsidRPr="00DA6BC7" w14:paraId="719130C9" w14:textId="77777777" w:rsidTr="005A0398">
        <w:tc>
          <w:tcPr>
            <w:tcW w:w="2689" w:type="dxa"/>
            <w:vAlign w:val="center"/>
          </w:tcPr>
          <w:p w14:paraId="0544DBB5" w14:textId="77777777" w:rsidR="00554D6B" w:rsidRPr="00DA6BC7" w:rsidRDefault="00554D6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Kompetenzniveaus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br/>
              <w:t>nach DQR</w:t>
            </w:r>
          </w:p>
        </w:tc>
        <w:tc>
          <w:tcPr>
            <w:tcW w:w="66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039"/>
              <w:gridCol w:w="1040"/>
              <w:gridCol w:w="1041"/>
              <w:gridCol w:w="1041"/>
            </w:tblGrid>
            <w:tr w:rsidR="00BB1E5B" w:rsidRPr="00DA6BC7" w14:paraId="201DEB19" w14:textId="77777777" w:rsidTr="00121E88">
              <w:tc>
                <w:tcPr>
                  <w:tcW w:w="2271" w:type="dxa"/>
                </w:tcPr>
                <w:p w14:paraId="3DAD61D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Niveaus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3F8FE3C1" w14:textId="77777777" w:rsidR="00BB1E5B" w:rsidRPr="00DA6BC7" w:rsidRDefault="00BB1E5B" w:rsidP="00BB1E5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 xml:space="preserve"> bis </w:t>
                  </w: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0E212AC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 bis 4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2971ADB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5 bis 6</w:t>
                  </w: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09230906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7 bis 8</w:t>
                  </w:r>
                </w:p>
              </w:tc>
            </w:tr>
            <w:tr w:rsidR="00BB1E5B" w:rsidRPr="00DA6BC7" w14:paraId="7062E04A" w14:textId="77777777" w:rsidTr="008D6F34">
              <w:tc>
                <w:tcPr>
                  <w:tcW w:w="2271" w:type="dxa"/>
                </w:tcPr>
                <w:p w14:paraId="36D0CF3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Fachkompetenz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03AB10A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54A9D68A" w14:textId="37F5A7BF" w:rsidR="00BB1E5B" w:rsidRPr="00DA6BC7" w:rsidRDefault="006E4080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1298551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7905D90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1DBE4B76" w14:textId="77777777" w:rsidTr="005A78B7">
              <w:tc>
                <w:tcPr>
                  <w:tcW w:w="2271" w:type="dxa"/>
                </w:tcPr>
                <w:p w14:paraId="1C436A80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Methodenkompetenz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61596E77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3EEFAD63" w14:textId="032B5A92" w:rsidR="00BB1E5B" w:rsidRPr="00DA6BC7" w:rsidRDefault="006E4080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0BDB86D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7FD15BD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6F1E8A37" w14:textId="77777777" w:rsidTr="003C56E7">
              <w:tc>
                <w:tcPr>
                  <w:tcW w:w="2271" w:type="dxa"/>
                </w:tcPr>
                <w:p w14:paraId="2861B26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Selbstkompetenz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4706E127" w14:textId="313E3CB3" w:rsidR="00BB1E5B" w:rsidRPr="00DA6BC7" w:rsidRDefault="006E4080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6DF88209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71A1908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5E333FA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5F6C5192" w14:textId="77777777" w:rsidTr="002943B6">
              <w:tc>
                <w:tcPr>
                  <w:tcW w:w="2271" w:type="dxa"/>
                </w:tcPr>
                <w:p w14:paraId="01A94CEE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Sozialkompetenz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56F8FE22" w14:textId="3BAB7892" w:rsidR="00BB1E5B" w:rsidRPr="00DA6BC7" w:rsidRDefault="006E4080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293A369F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394E2FA7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0786F4D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598229FA" w14:textId="77777777" w:rsidR="00554D6B" w:rsidRPr="00DA6BC7" w:rsidRDefault="00554D6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6A098E78" w14:textId="77777777" w:rsidR="009B48AE" w:rsidRDefault="009B48AE" w:rsidP="009B48AE">
      <w:pPr>
        <w:pStyle w:val="KeinLeerraum"/>
      </w:pPr>
    </w:p>
    <w:p w14:paraId="0BAB90C0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4FDCD297" w14:textId="79A68FB1" w:rsidR="00D360A3" w:rsidRPr="007B7CCA" w:rsidRDefault="003E0A71" w:rsidP="00D70A53">
      <w:pPr>
        <w:spacing w:after="0"/>
        <w:jc w:val="both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>Die Dokumentvorlage ist so aufgebaut, dass</w:t>
      </w:r>
      <w:r w:rsidR="00D70A53">
        <w:rPr>
          <w:rFonts w:cs="Arial"/>
          <w:iCs/>
          <w:szCs w:val="22"/>
          <w:lang w:val="de-DE" w:eastAsia="de-DE"/>
        </w:rPr>
        <w:t xml:space="preserve"> Klasse, Fach und Name des Lernenden individuell einzutragen sind. Das Datum sowie die Formatvorlagen sind bereits eingestellt. Mit diesem Material gelingt die Erstellung von Arbeitsblättern einheitlicher und es dient zur Aufwandsminimierung. </w:t>
      </w:r>
      <w:r w:rsidR="005A0AA0">
        <w:rPr>
          <w:rFonts w:cs="Arial"/>
          <w:iCs/>
          <w:szCs w:val="22"/>
          <w:lang w:val="de-DE" w:eastAsia="de-DE"/>
        </w:rPr>
        <w:t xml:space="preserve">Es gibt bereits Platzhalter für Aufgaben und weitere Materialien, auch eine Vorlage zur Einstufung der Schwierigkeit ist vorhanden. </w:t>
      </w:r>
      <w:r w:rsidR="00611B4B">
        <w:rPr>
          <w:rFonts w:cs="Arial"/>
          <w:iCs/>
          <w:szCs w:val="22"/>
          <w:lang w:val="de-DE" w:eastAsia="de-DE"/>
        </w:rPr>
        <w:t xml:space="preserve">Die Lernenden sollen mit dem Arbeitsblatt wesentliche Zusammenhänge zwischen dem Aufbau des PSE und dem Aufbau der Elemente verstehen. Durch die komplexen Aufgaben soll die Transferkompetenz der SuS </w:t>
      </w:r>
      <w:r w:rsidR="005A0AA0">
        <w:rPr>
          <w:rFonts w:cs="Arial"/>
          <w:iCs/>
          <w:szCs w:val="22"/>
          <w:lang w:val="de-DE" w:eastAsia="de-DE"/>
        </w:rPr>
        <w:t>trainier</w:t>
      </w:r>
      <w:r w:rsidR="00611B4B">
        <w:rPr>
          <w:rFonts w:cs="Arial"/>
          <w:iCs/>
          <w:szCs w:val="22"/>
          <w:lang w:val="de-DE" w:eastAsia="de-DE"/>
        </w:rPr>
        <w:t xml:space="preserve">t werden. </w:t>
      </w:r>
      <w:r w:rsidR="005A0AA0">
        <w:rPr>
          <w:rFonts w:cs="Arial"/>
          <w:iCs/>
          <w:szCs w:val="22"/>
          <w:lang w:val="de-DE" w:eastAsia="de-DE"/>
        </w:rPr>
        <w:t xml:space="preserve">Das Material ist dahingehend gut geeignet, da es zum einen übersichtlich ist und die Aufgaben klar voneinander abgegrenzt werden. 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6587D793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276611BF" w14:textId="58EBE5EF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C806D3">
        <w:rPr>
          <w:rFonts w:cs="Arial"/>
          <w:iCs/>
          <w:szCs w:val="22"/>
          <w:lang w:val="de-DE"/>
        </w:rPr>
        <w:t>Das Material muss entweder ausgedruckt vorliegen oder per digitaler Tafel/</w:t>
      </w:r>
      <w:proofErr w:type="spellStart"/>
      <w:r w:rsidR="00C806D3">
        <w:rPr>
          <w:rFonts w:cs="Arial"/>
          <w:iCs/>
          <w:szCs w:val="22"/>
          <w:lang w:val="de-DE"/>
        </w:rPr>
        <w:t>Beamer</w:t>
      </w:r>
      <w:proofErr w:type="spellEnd"/>
      <w:r w:rsidR="00C806D3">
        <w:rPr>
          <w:rFonts w:cs="Arial"/>
          <w:iCs/>
          <w:szCs w:val="22"/>
          <w:lang w:val="de-DE"/>
        </w:rPr>
        <w:t xml:space="preserve"> gezeigt werden. </w:t>
      </w:r>
    </w:p>
    <w:p w14:paraId="11C3A315" w14:textId="1FA285E5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3E0A71">
        <w:rPr>
          <w:rFonts w:cs="Arial"/>
          <w:iCs/>
          <w:szCs w:val="22"/>
          <w:lang w:val="de-DE"/>
        </w:rPr>
        <w:t xml:space="preserve">Die SuS müssen bereits die wesentlichen Inhalte zum Schalenmodell erarbeitet haben. Des Weiteren müssen sie die Zusammenhänge zwischen der Position der Elemente im Periodensystem und ihrem Aufbau verinnerlicht haben. </w:t>
      </w:r>
    </w:p>
    <w:p w14:paraId="1954162D" w14:textId="3EC4CB01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3E0A71">
        <w:rPr>
          <w:rFonts w:cs="Arial"/>
          <w:iCs/>
          <w:szCs w:val="22"/>
          <w:lang w:val="de-DE"/>
        </w:rPr>
        <w:t>Für die Benutzung des Materials sind keine spezielle Anforderung notwendig. Für die Bearbeitung der Dokumentvorlage sind Kenntnisse im Umgang mit Textverarbeitungsprogrammen und Formatvorlagen notwendig.</w:t>
      </w:r>
    </w:p>
    <w:sectPr w:rsidR="00F45BDD" w:rsidRPr="00DA6BC7" w:rsidSect="002734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9EB1" w14:textId="77777777" w:rsidR="00CB41FF" w:rsidRDefault="00CB41FF">
      <w:r>
        <w:separator/>
      </w:r>
    </w:p>
  </w:endnote>
  <w:endnote w:type="continuationSeparator" w:id="0">
    <w:p w14:paraId="5D5679C1" w14:textId="77777777" w:rsidR="00CB41FF" w:rsidRDefault="00CB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65B5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53826014" wp14:editId="4BACAE8A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A743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3AB0C4B7" wp14:editId="2A777F7E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6D6F" w14:textId="77777777" w:rsidR="00CB41FF" w:rsidRDefault="00CB41FF">
      <w:r>
        <w:separator/>
      </w:r>
    </w:p>
  </w:footnote>
  <w:footnote w:type="continuationSeparator" w:id="0">
    <w:p w14:paraId="656FB6A1" w14:textId="77777777" w:rsidR="00CB41FF" w:rsidRDefault="00CB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72F3" w14:textId="4082F43F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</w:r>
    <w:r w:rsidR="00C806D3">
      <w:rPr>
        <w:rFonts w:cs="Calibri"/>
        <w:bCs/>
        <w:sz w:val="18"/>
        <w:szCs w:val="18"/>
        <w:u w:val="single"/>
        <w:lang w:val="de-DE"/>
      </w:rPr>
      <w:t>Lukas Feder________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36A0" w14:textId="3EE1BEB7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C806D3">
      <w:rPr>
        <w:rFonts w:cs="Calibri"/>
        <w:bCs/>
        <w:sz w:val="18"/>
        <w:szCs w:val="18"/>
        <w:u w:val="single"/>
        <w:lang w:val="de-DE"/>
      </w:rPr>
      <w:t>Lukas Feder_______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6E4080"/>
    <w:rsid w:val="000073A5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34F1"/>
    <w:rsid w:val="002918C3"/>
    <w:rsid w:val="00334651"/>
    <w:rsid w:val="00371824"/>
    <w:rsid w:val="003B33DA"/>
    <w:rsid w:val="003C5CC7"/>
    <w:rsid w:val="003E0A71"/>
    <w:rsid w:val="0044028A"/>
    <w:rsid w:val="00455049"/>
    <w:rsid w:val="00467D9A"/>
    <w:rsid w:val="00554D6B"/>
    <w:rsid w:val="00580FA9"/>
    <w:rsid w:val="005A0398"/>
    <w:rsid w:val="005A0AA0"/>
    <w:rsid w:val="005B4FC2"/>
    <w:rsid w:val="005C342F"/>
    <w:rsid w:val="005E0961"/>
    <w:rsid w:val="00603E4B"/>
    <w:rsid w:val="00611B4B"/>
    <w:rsid w:val="00697B6E"/>
    <w:rsid w:val="006A05EE"/>
    <w:rsid w:val="006A7F79"/>
    <w:rsid w:val="006B080B"/>
    <w:rsid w:val="006E4080"/>
    <w:rsid w:val="00704DEE"/>
    <w:rsid w:val="00716ACC"/>
    <w:rsid w:val="007656EA"/>
    <w:rsid w:val="007B7CCA"/>
    <w:rsid w:val="007F4974"/>
    <w:rsid w:val="00825635"/>
    <w:rsid w:val="00827B21"/>
    <w:rsid w:val="00831038"/>
    <w:rsid w:val="0086259A"/>
    <w:rsid w:val="0088504B"/>
    <w:rsid w:val="008C05C2"/>
    <w:rsid w:val="009164E1"/>
    <w:rsid w:val="0097737B"/>
    <w:rsid w:val="009B48AE"/>
    <w:rsid w:val="009C0F5F"/>
    <w:rsid w:val="009C38D2"/>
    <w:rsid w:val="009C74CE"/>
    <w:rsid w:val="00A202A8"/>
    <w:rsid w:val="00AC1DB0"/>
    <w:rsid w:val="00B01D8A"/>
    <w:rsid w:val="00B12EEA"/>
    <w:rsid w:val="00B67937"/>
    <w:rsid w:val="00BB1E5B"/>
    <w:rsid w:val="00BE4C24"/>
    <w:rsid w:val="00C2337B"/>
    <w:rsid w:val="00C806D3"/>
    <w:rsid w:val="00C85106"/>
    <w:rsid w:val="00C94233"/>
    <w:rsid w:val="00CB41FF"/>
    <w:rsid w:val="00CD1544"/>
    <w:rsid w:val="00CF136C"/>
    <w:rsid w:val="00CF1EFD"/>
    <w:rsid w:val="00CF5049"/>
    <w:rsid w:val="00D271BA"/>
    <w:rsid w:val="00D360A3"/>
    <w:rsid w:val="00D5373F"/>
    <w:rsid w:val="00D70A53"/>
    <w:rsid w:val="00D91BFD"/>
    <w:rsid w:val="00DA6BC7"/>
    <w:rsid w:val="00DC688C"/>
    <w:rsid w:val="00E304CA"/>
    <w:rsid w:val="00E93AC8"/>
    <w:rsid w:val="00EB2C28"/>
    <w:rsid w:val="00EC4308"/>
    <w:rsid w:val="00ED376F"/>
    <w:rsid w:val="00F45BDD"/>
    <w:rsid w:val="00F74578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AABB6"/>
  <w15:docId w15:val="{4A867CF7-2938-4A7A-89E6-AA800AC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\Documents\Uni\9.%20Semester\digitale%20medien\pr&#252;fung\Word%20-%20Kurz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Kurzhandreichung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 Feder</dc:creator>
  <cp:lastModifiedBy>Feder, Lukas</cp:lastModifiedBy>
  <cp:revision>2</cp:revision>
  <cp:lastPrinted>2019-10-10T08:23:00Z</cp:lastPrinted>
  <dcterms:created xsi:type="dcterms:W3CDTF">2022-04-03T18:14:00Z</dcterms:created>
  <dcterms:modified xsi:type="dcterms:W3CDTF">2022-04-03T18:41:00Z</dcterms:modified>
</cp:coreProperties>
</file>